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D385A" w14:textId="77777777" w:rsidR="00C650E3" w:rsidRDefault="00C16D89" w:rsidP="00D3713A">
      <w:pPr>
        <w:pStyle w:val="Heading1"/>
        <w:jc w:val="center"/>
      </w:pPr>
      <w:r>
        <w:t>FX-₹</w:t>
      </w:r>
      <w:proofErr w:type="spellStart"/>
      <w:r>
        <w:t>etail</w:t>
      </w:r>
      <w:proofErr w:type="spellEnd"/>
      <w:r>
        <w:t xml:space="preserve"> Participant Interface Configuration</w:t>
      </w:r>
    </w:p>
    <w:p w14:paraId="77977D01" w14:textId="77777777" w:rsidR="00C16D89" w:rsidRDefault="00C16D89" w:rsidP="005362C8">
      <w:pPr>
        <w:pStyle w:val="Heading2"/>
        <w:jc w:val="both"/>
      </w:pPr>
      <w:r>
        <w:t>Introduction</w:t>
      </w:r>
    </w:p>
    <w:p w14:paraId="09A384EE" w14:textId="77777777" w:rsidR="00317521" w:rsidRDefault="00317521" w:rsidP="005362C8">
      <w:pPr>
        <w:jc w:val="both"/>
      </w:pPr>
      <w:r>
        <w:t xml:space="preserve">The Participant Interface (PI) is a software component that resides in the premises of each participant, connecting to the ClearCorp Retail FX system through a Retail API Gateway at the ClearCorp end. </w:t>
      </w:r>
    </w:p>
    <w:p w14:paraId="612F51C9" w14:textId="77777777" w:rsidR="00D3713A" w:rsidRDefault="00D3713A" w:rsidP="005362C8">
      <w:pPr>
        <w:pStyle w:val="Heading2"/>
        <w:jc w:val="both"/>
      </w:pPr>
    </w:p>
    <w:p w14:paraId="6F61761E" w14:textId="77777777" w:rsidR="00D9649E" w:rsidRDefault="00126E7C" w:rsidP="005362C8">
      <w:pPr>
        <w:pStyle w:val="Heading2"/>
        <w:jc w:val="both"/>
      </w:pPr>
      <w:r>
        <w:t>Configuration</w:t>
      </w:r>
    </w:p>
    <w:p w14:paraId="08FD3E89" w14:textId="77777777" w:rsidR="00D9649E" w:rsidRDefault="00D9649E" w:rsidP="005362C8">
      <w:pPr>
        <w:pStyle w:val="Heading2"/>
        <w:jc w:val="both"/>
        <w:rPr>
          <w:rFonts w:asciiTheme="minorHAnsi" w:eastAsiaTheme="minorHAnsi" w:hAnsiTheme="minorHAnsi" w:cstheme="minorBidi"/>
          <w:color w:val="auto"/>
          <w:sz w:val="22"/>
          <w:szCs w:val="22"/>
        </w:rPr>
      </w:pPr>
      <w:r w:rsidRPr="00D9649E">
        <w:rPr>
          <w:rFonts w:asciiTheme="minorHAnsi" w:eastAsiaTheme="minorHAnsi" w:hAnsiTheme="minorHAnsi" w:cstheme="minorBidi"/>
          <w:color w:val="auto"/>
          <w:sz w:val="22"/>
          <w:szCs w:val="22"/>
        </w:rPr>
        <w:t>Note:</w:t>
      </w:r>
      <w:r>
        <w:rPr>
          <w:rFonts w:asciiTheme="minorHAnsi" w:eastAsiaTheme="minorHAnsi" w:hAnsiTheme="minorHAnsi" w:cstheme="minorBidi"/>
          <w:color w:val="auto"/>
          <w:sz w:val="22"/>
          <w:szCs w:val="22"/>
        </w:rPr>
        <w:t xml:space="preserve"> In this document, the paths of various folders that are given to be residing on the “C:” drive are for sample purposes only. They can also be made resident on “D:” drive, if so desired by the member bank. However, in that case, corresponding changes would need to be made in the values of the environment variables mentioned in the document and also in the batch file “</w:t>
      </w:r>
      <w:r w:rsidRPr="00D9649E">
        <w:rPr>
          <w:rFonts w:asciiTheme="minorHAnsi" w:eastAsiaTheme="minorHAnsi" w:hAnsiTheme="minorHAnsi" w:cstheme="minorBidi"/>
          <w:color w:val="auto"/>
          <w:sz w:val="22"/>
          <w:szCs w:val="22"/>
        </w:rPr>
        <w:t>ParticipantsInterface.bat”</w:t>
      </w:r>
      <w:r>
        <w:rPr>
          <w:rFonts w:asciiTheme="minorHAnsi" w:eastAsiaTheme="minorHAnsi" w:hAnsiTheme="minorHAnsi" w:cstheme="minorBidi"/>
          <w:color w:val="auto"/>
          <w:sz w:val="22"/>
          <w:szCs w:val="22"/>
        </w:rPr>
        <w:t xml:space="preserve"> </w:t>
      </w:r>
    </w:p>
    <w:p w14:paraId="7654B4F4" w14:textId="77777777" w:rsidR="00317521" w:rsidRPr="00D9649E" w:rsidRDefault="00D9649E" w:rsidP="005362C8">
      <w:pPr>
        <w:pStyle w:val="Heading2"/>
        <w:jc w:val="both"/>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 xml:space="preserve"> </w:t>
      </w:r>
      <w:r w:rsidR="00126E7C" w:rsidRPr="00D9649E">
        <w:rPr>
          <w:rFonts w:asciiTheme="minorHAnsi" w:eastAsiaTheme="minorHAnsi" w:hAnsiTheme="minorHAnsi" w:cstheme="minorBidi"/>
          <w:color w:val="auto"/>
          <w:sz w:val="22"/>
          <w:szCs w:val="22"/>
        </w:rPr>
        <w:tab/>
      </w:r>
    </w:p>
    <w:p w14:paraId="2AAEF4C5" w14:textId="77777777" w:rsidR="000E3BC4" w:rsidRDefault="00126E7C" w:rsidP="005362C8">
      <w:pPr>
        <w:pStyle w:val="ListParagraph"/>
        <w:numPr>
          <w:ilvl w:val="0"/>
          <w:numId w:val="8"/>
        </w:numPr>
        <w:jc w:val="both"/>
      </w:pPr>
      <w:r>
        <w:t xml:space="preserve">Get the </w:t>
      </w:r>
      <w:r w:rsidR="000E3BC4">
        <w:t>fol</w:t>
      </w:r>
      <w:r w:rsidR="00E23E90">
        <w:t xml:space="preserve">lowing files from the </w:t>
      </w:r>
      <w:r w:rsidR="00F32F98">
        <w:t>Report Browser</w:t>
      </w:r>
    </w:p>
    <w:p w14:paraId="14F0F46C" w14:textId="79842A94" w:rsidR="00C16D89" w:rsidRPr="00F435E7" w:rsidRDefault="005C0CA8" w:rsidP="005362C8">
      <w:pPr>
        <w:pStyle w:val="ListParagraph"/>
        <w:numPr>
          <w:ilvl w:val="1"/>
          <w:numId w:val="8"/>
        </w:numPr>
        <w:jc w:val="both"/>
        <w:rPr>
          <w:i/>
          <w:color w:val="833C0B" w:themeColor="accent2" w:themeShade="80"/>
          <w:sz w:val="20"/>
          <w:u w:val="single"/>
        </w:rPr>
      </w:pPr>
      <w:proofErr w:type="spellStart"/>
      <w:r w:rsidRPr="00F435E7">
        <w:rPr>
          <w:i/>
          <w:color w:val="833C0B" w:themeColor="accent2" w:themeShade="80"/>
          <w:sz w:val="20"/>
          <w:u w:val="single"/>
        </w:rPr>
        <w:t>ParticipantInterface.w</w:t>
      </w:r>
      <w:r w:rsidR="00126E7C" w:rsidRPr="00F435E7">
        <w:rPr>
          <w:i/>
          <w:color w:val="833C0B" w:themeColor="accent2" w:themeShade="80"/>
          <w:sz w:val="20"/>
          <w:u w:val="single"/>
        </w:rPr>
        <w:t>ar</w:t>
      </w:r>
      <w:proofErr w:type="spellEnd"/>
      <w:r w:rsidR="00E93663">
        <w:rPr>
          <w:i/>
          <w:color w:val="833C0B" w:themeColor="accent2" w:themeShade="80"/>
          <w:sz w:val="20"/>
          <w:u w:val="single"/>
        </w:rPr>
        <w:t xml:space="preserve"> </w:t>
      </w:r>
    </w:p>
    <w:p w14:paraId="7ADD9851" w14:textId="5E625A3D" w:rsidR="000E3BC4" w:rsidRPr="00F435E7" w:rsidRDefault="000E3BC4" w:rsidP="005362C8">
      <w:pPr>
        <w:pStyle w:val="ListParagraph"/>
        <w:numPr>
          <w:ilvl w:val="1"/>
          <w:numId w:val="8"/>
        </w:numPr>
        <w:jc w:val="both"/>
        <w:rPr>
          <w:i/>
          <w:color w:val="833C0B" w:themeColor="accent2" w:themeShade="80"/>
          <w:sz w:val="20"/>
          <w:u w:val="single"/>
        </w:rPr>
      </w:pPr>
      <w:r w:rsidRPr="00F435E7">
        <w:rPr>
          <w:i/>
          <w:color w:val="833C0B" w:themeColor="accent2" w:themeShade="80"/>
          <w:sz w:val="20"/>
          <w:u w:val="single"/>
        </w:rPr>
        <w:t>ParticipantsInterface.bat</w:t>
      </w:r>
      <w:r w:rsidR="00E93663">
        <w:rPr>
          <w:i/>
          <w:color w:val="833C0B" w:themeColor="accent2" w:themeShade="80"/>
          <w:sz w:val="20"/>
          <w:u w:val="single"/>
        </w:rPr>
        <w:t xml:space="preserve"> </w:t>
      </w:r>
    </w:p>
    <w:p w14:paraId="22294766" w14:textId="77777777" w:rsidR="00651049" w:rsidRPr="00F435E7" w:rsidRDefault="00651049" w:rsidP="005362C8">
      <w:pPr>
        <w:pStyle w:val="ListParagraph"/>
        <w:ind w:left="1440"/>
        <w:jc w:val="both"/>
        <w:rPr>
          <w:sz w:val="6"/>
        </w:rPr>
      </w:pPr>
    </w:p>
    <w:p w14:paraId="24A4E428" w14:textId="7E2CB457" w:rsidR="000E3BC4" w:rsidRDefault="000E3BC4" w:rsidP="005362C8">
      <w:pPr>
        <w:pStyle w:val="ListParagraph"/>
        <w:numPr>
          <w:ilvl w:val="0"/>
          <w:numId w:val="8"/>
        </w:numPr>
        <w:jc w:val="both"/>
      </w:pPr>
      <w:r w:rsidRPr="00F435E7">
        <w:t>Create a folder structure for the above</w:t>
      </w:r>
      <w:r>
        <w:t xml:space="preserve"> files as indicated below</w:t>
      </w:r>
      <w:r w:rsidR="00497364">
        <w:t>,</w:t>
      </w:r>
      <w:r w:rsidR="00E93663">
        <w:t xml:space="preserve"> </w:t>
      </w:r>
    </w:p>
    <w:p w14:paraId="64D18CAC" w14:textId="77777777" w:rsidR="009F6F65" w:rsidRPr="00DD2DD0" w:rsidRDefault="009F6F65" w:rsidP="00497364">
      <w:pPr>
        <w:pStyle w:val="ListParagraph"/>
        <w:numPr>
          <w:ilvl w:val="1"/>
          <w:numId w:val="8"/>
        </w:numPr>
        <w:jc w:val="both"/>
        <w:rPr>
          <w:b/>
          <w:i/>
          <w:color w:val="833C0B" w:themeColor="accent2" w:themeShade="80"/>
          <w:sz w:val="20"/>
          <w:u w:val="single"/>
        </w:rPr>
      </w:pPr>
      <w:r w:rsidRPr="00644C63">
        <w:rPr>
          <w:b/>
          <w:i/>
          <w:color w:val="833C0B" w:themeColor="accent2" w:themeShade="80"/>
          <w:sz w:val="20"/>
          <w:u w:val="single"/>
        </w:rPr>
        <w:t>C:\FXRetailApplication\Exe\ParticipantInterface\</w:t>
      </w:r>
      <w:r w:rsidRPr="009F6F65">
        <w:rPr>
          <w:b/>
          <w:i/>
          <w:color w:val="833C0B" w:themeColor="accent2" w:themeShade="80"/>
          <w:sz w:val="20"/>
        </w:rPr>
        <w:t xml:space="preserve"> </w:t>
      </w:r>
    </w:p>
    <w:p w14:paraId="560EA0E3" w14:textId="77777777" w:rsidR="00497364" w:rsidRPr="008555BB" w:rsidRDefault="009F6F65" w:rsidP="00DD2DD0">
      <w:pPr>
        <w:pStyle w:val="ListParagraph"/>
        <w:ind w:left="1440"/>
        <w:jc w:val="both"/>
        <w:rPr>
          <w:b/>
          <w:i/>
          <w:color w:val="833C0B" w:themeColor="accent2" w:themeShade="80"/>
          <w:sz w:val="20"/>
          <w:u w:val="single"/>
        </w:rPr>
      </w:pPr>
      <w:r>
        <w:rPr>
          <w:i/>
        </w:rPr>
        <w:t xml:space="preserve">Inside this folder, keep the </w:t>
      </w:r>
      <w:proofErr w:type="spellStart"/>
      <w:r w:rsidRPr="00DD2DD0">
        <w:rPr>
          <w:b/>
          <w:i/>
        </w:rPr>
        <w:t>ParticipantInterface.war</w:t>
      </w:r>
      <w:proofErr w:type="spellEnd"/>
      <w:r w:rsidR="00497364">
        <w:rPr>
          <w:i/>
        </w:rPr>
        <w:t xml:space="preserve"> </w:t>
      </w:r>
    </w:p>
    <w:p w14:paraId="0A3F0EB7" w14:textId="77777777" w:rsidR="009F6F65" w:rsidRPr="00DD2DD0" w:rsidRDefault="009F6F65" w:rsidP="009F6F65">
      <w:pPr>
        <w:pStyle w:val="ListParagraph"/>
        <w:numPr>
          <w:ilvl w:val="1"/>
          <w:numId w:val="8"/>
        </w:numPr>
        <w:jc w:val="both"/>
        <w:rPr>
          <w:b/>
          <w:i/>
        </w:rPr>
      </w:pPr>
      <w:r>
        <w:rPr>
          <w:b/>
          <w:i/>
          <w:color w:val="833C0B" w:themeColor="accent2" w:themeShade="80"/>
          <w:sz w:val="20"/>
          <w:u w:val="single"/>
        </w:rPr>
        <w:t>C:</w:t>
      </w:r>
      <w:r w:rsidR="000E3BC4" w:rsidRPr="009F6F65">
        <w:rPr>
          <w:b/>
          <w:i/>
          <w:color w:val="833C0B" w:themeColor="accent2" w:themeShade="80"/>
          <w:sz w:val="20"/>
          <w:u w:val="single"/>
        </w:rPr>
        <w:t>\FXRetailApplication\Batch Files\</w:t>
      </w:r>
      <w:r w:rsidR="00AC60E5" w:rsidRPr="00DD2DD0">
        <w:rPr>
          <w:i/>
          <w:color w:val="833C0B" w:themeColor="accent2" w:themeShade="80"/>
          <w:sz w:val="20"/>
        </w:rPr>
        <w:t xml:space="preserve"> </w:t>
      </w:r>
      <w:r>
        <w:rPr>
          <w:i/>
          <w:color w:val="833C0B" w:themeColor="accent2" w:themeShade="80"/>
          <w:sz w:val="20"/>
        </w:rPr>
        <w:t xml:space="preserve"> </w:t>
      </w:r>
    </w:p>
    <w:p w14:paraId="30244BB0" w14:textId="77777777" w:rsidR="009F6F65" w:rsidRPr="00DD2DD0" w:rsidRDefault="009F6F65" w:rsidP="00DD2DD0">
      <w:pPr>
        <w:pStyle w:val="ListParagraph"/>
        <w:ind w:left="1440"/>
        <w:jc w:val="both"/>
        <w:rPr>
          <w:b/>
          <w:i/>
        </w:rPr>
      </w:pPr>
      <w:r>
        <w:rPr>
          <w:i/>
        </w:rPr>
        <w:t xml:space="preserve">Inside this folder, keep the </w:t>
      </w:r>
      <w:r w:rsidRPr="00DD2DD0">
        <w:rPr>
          <w:b/>
          <w:i/>
        </w:rPr>
        <w:t>P</w:t>
      </w:r>
      <w:r w:rsidR="000E3BC4" w:rsidRPr="00DD2DD0">
        <w:rPr>
          <w:b/>
          <w:i/>
        </w:rPr>
        <w:t>articipantsInterface.bat</w:t>
      </w:r>
      <w:r w:rsidR="00524A35" w:rsidRPr="00DD2DD0">
        <w:rPr>
          <w:b/>
          <w:i/>
        </w:rPr>
        <w:t xml:space="preserve"> </w:t>
      </w:r>
    </w:p>
    <w:p w14:paraId="7B78642B" w14:textId="77777777" w:rsidR="00651049" w:rsidRPr="00651049" w:rsidRDefault="00651049" w:rsidP="005362C8">
      <w:pPr>
        <w:pStyle w:val="ListParagraph"/>
        <w:ind w:left="1440"/>
        <w:jc w:val="both"/>
        <w:rPr>
          <w:i/>
          <w:sz w:val="6"/>
        </w:rPr>
      </w:pPr>
    </w:p>
    <w:p w14:paraId="54A7BF87" w14:textId="77777777" w:rsidR="000E3BC4" w:rsidRDefault="000E3BC4" w:rsidP="005362C8">
      <w:pPr>
        <w:pStyle w:val="ListParagraph"/>
        <w:numPr>
          <w:ilvl w:val="0"/>
          <w:numId w:val="8"/>
        </w:numPr>
        <w:jc w:val="both"/>
      </w:pPr>
      <w:r>
        <w:t>Also, have an another folder structure for PKI and trade files as suggested below</w:t>
      </w:r>
    </w:p>
    <w:p w14:paraId="426B8C43" w14:textId="77777777" w:rsidR="009F6F65" w:rsidRPr="00DD2DD0" w:rsidRDefault="00651049" w:rsidP="005362C8">
      <w:pPr>
        <w:pStyle w:val="ListParagraph"/>
        <w:numPr>
          <w:ilvl w:val="1"/>
          <w:numId w:val="8"/>
        </w:numPr>
        <w:jc w:val="both"/>
        <w:rPr>
          <w:i/>
        </w:rPr>
      </w:pPr>
      <w:r w:rsidRPr="008555BB">
        <w:rPr>
          <w:b/>
          <w:i/>
          <w:color w:val="833C0B" w:themeColor="accent2" w:themeShade="80"/>
          <w:sz w:val="20"/>
          <w:szCs w:val="20"/>
          <w:u w:val="single"/>
        </w:rPr>
        <w:t>C:\FXRetailApplication\</w:t>
      </w:r>
      <w:r w:rsidR="009C5EDE" w:rsidRPr="008555BB">
        <w:rPr>
          <w:b/>
          <w:i/>
          <w:color w:val="833C0B" w:themeColor="accent2" w:themeShade="80"/>
          <w:sz w:val="20"/>
          <w:szCs w:val="20"/>
          <w:u w:val="single"/>
        </w:rPr>
        <w:t>API\</w:t>
      </w:r>
      <w:r w:rsidRPr="008555BB">
        <w:rPr>
          <w:b/>
          <w:i/>
          <w:color w:val="833C0B" w:themeColor="accent2" w:themeShade="80"/>
          <w:sz w:val="20"/>
          <w:szCs w:val="20"/>
          <w:u w:val="single"/>
        </w:rPr>
        <w:t>PKI\</w:t>
      </w:r>
      <w:r w:rsidRPr="008555BB">
        <w:rPr>
          <w:b/>
          <w:i/>
          <w:color w:val="833C0B" w:themeColor="accent2" w:themeShade="80"/>
          <w:sz w:val="20"/>
          <w:szCs w:val="20"/>
        </w:rPr>
        <w:t xml:space="preserve"> </w:t>
      </w:r>
    </w:p>
    <w:p w14:paraId="32F0C799" w14:textId="77777777" w:rsidR="000E3BC4" w:rsidRPr="008555BB" w:rsidRDefault="00644C63" w:rsidP="00DD2DD0">
      <w:pPr>
        <w:pStyle w:val="ListParagraph"/>
        <w:ind w:left="1440"/>
        <w:jc w:val="both"/>
        <w:rPr>
          <w:i/>
        </w:rPr>
      </w:pPr>
      <w:r w:rsidRPr="008555BB">
        <w:rPr>
          <w:i/>
        </w:rPr>
        <w:t>Inside this folder, have the private key (.</w:t>
      </w:r>
      <w:proofErr w:type="spellStart"/>
      <w:r w:rsidRPr="008555BB">
        <w:rPr>
          <w:i/>
        </w:rPr>
        <w:t>pfx</w:t>
      </w:r>
      <w:proofErr w:type="spellEnd"/>
      <w:r w:rsidRPr="008555BB">
        <w:rPr>
          <w:i/>
        </w:rPr>
        <w:t>) file of the PI client (Banks or customer) and public key (.</w:t>
      </w:r>
      <w:proofErr w:type="spellStart"/>
      <w:r w:rsidRPr="008555BB">
        <w:rPr>
          <w:i/>
        </w:rPr>
        <w:t>cer</w:t>
      </w:r>
      <w:proofErr w:type="spellEnd"/>
      <w:r w:rsidRPr="008555BB">
        <w:rPr>
          <w:i/>
        </w:rPr>
        <w:t>) of the API server (ClearCorp)</w:t>
      </w:r>
      <w:r w:rsidR="006F3132">
        <w:rPr>
          <w:i/>
        </w:rPr>
        <w:t xml:space="preserve"> </w:t>
      </w:r>
      <w:r w:rsidR="006F3132" w:rsidRPr="006F3132">
        <w:rPr>
          <w:i/>
        </w:rPr>
        <w:sym w:font="Wingdings" w:char="F0E0"/>
      </w:r>
      <w:r w:rsidR="006F3132">
        <w:rPr>
          <w:i/>
        </w:rPr>
        <w:t xml:space="preserve"> This is mandatory to enable authentication process between PI client and API server located at the ClearCorp site.</w:t>
      </w:r>
    </w:p>
    <w:p w14:paraId="5A260994" w14:textId="77777777" w:rsidR="006F3132" w:rsidRPr="00DD2DD0" w:rsidRDefault="009F6F65" w:rsidP="009C5EDE">
      <w:pPr>
        <w:pStyle w:val="ListParagraph"/>
        <w:numPr>
          <w:ilvl w:val="1"/>
          <w:numId w:val="8"/>
        </w:numPr>
        <w:jc w:val="both"/>
        <w:rPr>
          <w:i/>
        </w:rPr>
      </w:pPr>
      <w:r w:rsidRPr="008555BB">
        <w:rPr>
          <w:b/>
          <w:i/>
          <w:color w:val="833C0B" w:themeColor="accent2" w:themeShade="80"/>
          <w:sz w:val="20"/>
          <w:szCs w:val="20"/>
          <w:u w:val="single"/>
        </w:rPr>
        <w:t>C:\FXRetailApplication\PI\PKI\</w:t>
      </w:r>
      <w:r w:rsidR="006F3132">
        <w:rPr>
          <w:color w:val="833C0B" w:themeColor="accent2" w:themeShade="80"/>
          <w:sz w:val="20"/>
          <w:szCs w:val="20"/>
        </w:rPr>
        <w:t xml:space="preserve"> </w:t>
      </w:r>
    </w:p>
    <w:p w14:paraId="004A5A2C" w14:textId="77777777" w:rsidR="009C5EDE" w:rsidRPr="008555BB" w:rsidRDefault="009C5EDE" w:rsidP="00DD2DD0">
      <w:pPr>
        <w:pStyle w:val="ListParagraph"/>
        <w:ind w:left="1440"/>
        <w:jc w:val="both"/>
        <w:rPr>
          <w:i/>
        </w:rPr>
      </w:pPr>
      <w:r w:rsidRPr="008555BB">
        <w:rPr>
          <w:i/>
        </w:rPr>
        <w:t>Inside this folder, have the private key (.</w:t>
      </w:r>
      <w:proofErr w:type="spellStart"/>
      <w:r w:rsidRPr="008555BB">
        <w:rPr>
          <w:i/>
        </w:rPr>
        <w:t>pfx</w:t>
      </w:r>
      <w:proofErr w:type="spellEnd"/>
      <w:r w:rsidRPr="008555BB">
        <w:rPr>
          <w:i/>
        </w:rPr>
        <w:t xml:space="preserve">) file of the PI client (Bank or customer) </w:t>
      </w:r>
      <w:r w:rsidR="00180F3D">
        <w:rPr>
          <w:i/>
        </w:rPr>
        <w:t>and publ</w:t>
      </w:r>
      <w:r w:rsidR="00475422">
        <w:rPr>
          <w:i/>
        </w:rPr>
        <w:t>ic key (.</w:t>
      </w:r>
      <w:proofErr w:type="spellStart"/>
      <w:r w:rsidR="00475422">
        <w:rPr>
          <w:i/>
        </w:rPr>
        <w:t>cer</w:t>
      </w:r>
      <w:proofErr w:type="spellEnd"/>
      <w:r w:rsidR="00475422">
        <w:rPr>
          <w:i/>
        </w:rPr>
        <w:t>) of the HUB</w:t>
      </w:r>
      <w:r w:rsidR="006F3132">
        <w:rPr>
          <w:i/>
        </w:rPr>
        <w:t xml:space="preserve"> </w:t>
      </w:r>
      <w:r w:rsidR="00AE59F3">
        <w:rPr>
          <w:i/>
        </w:rPr>
        <w:t xml:space="preserve"> </w:t>
      </w:r>
      <w:r w:rsidR="00AE59F3" w:rsidRPr="00AE59F3">
        <w:rPr>
          <w:i/>
        </w:rPr>
        <w:sym w:font="Wingdings" w:char="F0E0"/>
      </w:r>
      <w:r w:rsidR="00AE59F3">
        <w:rPr>
          <w:i/>
        </w:rPr>
        <w:t xml:space="preserve"> This is required only when the authentication &amp; encryption process is enabled (i.e., when the value of </w:t>
      </w:r>
      <w:proofErr w:type="spellStart"/>
      <w:proofErr w:type="gramStart"/>
      <w:r w:rsidR="00AE59F3" w:rsidRPr="00DD2DD0">
        <w:rPr>
          <w:b/>
        </w:rPr>
        <w:t>ccilfx.pi.encryptionRequired</w:t>
      </w:r>
      <w:proofErr w:type="spellEnd"/>
      <w:proofErr w:type="gramEnd"/>
      <w:r w:rsidR="00AE59F3">
        <w:t xml:space="preserve"> is set to TRUE)</w:t>
      </w:r>
      <w:r w:rsidR="005473BE">
        <w:rPr>
          <w:i/>
        </w:rPr>
        <w:t xml:space="preserve"> between PI client &amp; HUB</w:t>
      </w:r>
      <w:r w:rsidR="00AE59F3">
        <w:rPr>
          <w:i/>
        </w:rPr>
        <w:t xml:space="preserve">. </w:t>
      </w:r>
    </w:p>
    <w:p w14:paraId="3F71F093" w14:textId="77777777" w:rsidR="00AE59F3" w:rsidRDefault="006F3132" w:rsidP="005362C8">
      <w:pPr>
        <w:pStyle w:val="ListParagraph"/>
        <w:numPr>
          <w:ilvl w:val="1"/>
          <w:numId w:val="8"/>
        </w:numPr>
        <w:jc w:val="both"/>
        <w:rPr>
          <w:b/>
          <w:i/>
          <w:color w:val="833C0B" w:themeColor="accent2" w:themeShade="80"/>
          <w:sz w:val="20"/>
          <w:u w:val="single"/>
        </w:rPr>
      </w:pPr>
      <w:r w:rsidRPr="00644C63">
        <w:rPr>
          <w:b/>
          <w:i/>
          <w:color w:val="833C0B" w:themeColor="accent2" w:themeShade="80"/>
          <w:sz w:val="20"/>
          <w:u w:val="single"/>
        </w:rPr>
        <w:t>C:\FXRetailApplication\Trades\</w:t>
      </w:r>
      <w:r w:rsidR="00AE59F3">
        <w:rPr>
          <w:b/>
          <w:i/>
          <w:color w:val="833C0B" w:themeColor="accent2" w:themeShade="80"/>
          <w:sz w:val="20"/>
          <w:u w:val="single"/>
        </w:rPr>
        <w:t xml:space="preserve"> </w:t>
      </w:r>
    </w:p>
    <w:p w14:paraId="1126FFCA" w14:textId="77777777" w:rsidR="00651049" w:rsidRPr="00644C63" w:rsidRDefault="00004DC6" w:rsidP="00DD2DD0">
      <w:pPr>
        <w:pStyle w:val="ListParagraph"/>
        <w:ind w:left="1440"/>
        <w:jc w:val="both"/>
        <w:rPr>
          <w:b/>
          <w:i/>
          <w:color w:val="833C0B" w:themeColor="accent2" w:themeShade="80"/>
          <w:sz w:val="20"/>
          <w:u w:val="single"/>
        </w:rPr>
      </w:pPr>
      <w:r>
        <w:rPr>
          <w:i/>
        </w:rPr>
        <w:t>Inside this folder trade files will be stored</w:t>
      </w:r>
    </w:p>
    <w:p w14:paraId="202F95B7" w14:textId="77777777" w:rsidR="000E3BC4" w:rsidRDefault="000E3BC4" w:rsidP="005362C8">
      <w:pPr>
        <w:pStyle w:val="ListParagraph"/>
        <w:numPr>
          <w:ilvl w:val="0"/>
          <w:numId w:val="8"/>
        </w:numPr>
        <w:jc w:val="both"/>
      </w:pPr>
      <w:r>
        <w:t xml:space="preserve">Create the following system environmental variables in the PI client </w:t>
      </w:r>
      <w:r w:rsidR="00AE59F3">
        <w:t>machine.</w:t>
      </w:r>
    </w:p>
    <w:p w14:paraId="5C8F6332" w14:textId="77777777" w:rsidR="00D3713A" w:rsidRPr="00D3713A" w:rsidRDefault="00D3713A" w:rsidP="00D3713A">
      <w:pPr>
        <w:ind w:left="360"/>
        <w:jc w:val="both"/>
        <w:rPr>
          <w:b/>
        </w:rPr>
      </w:pPr>
      <w:r w:rsidRPr="00D3713A">
        <w:rPr>
          <w:b/>
        </w:rPr>
        <w:t>Table 1</w:t>
      </w:r>
    </w:p>
    <w:tbl>
      <w:tblPr>
        <w:tblStyle w:val="GridTable1Light1"/>
        <w:tblW w:w="0" w:type="auto"/>
        <w:tblInd w:w="445" w:type="dxa"/>
        <w:tblLayout w:type="fixed"/>
        <w:tblLook w:val="04A0" w:firstRow="1" w:lastRow="0" w:firstColumn="1" w:lastColumn="0" w:noHBand="0" w:noVBand="1"/>
      </w:tblPr>
      <w:tblGrid>
        <w:gridCol w:w="671"/>
        <w:gridCol w:w="2812"/>
        <w:gridCol w:w="2272"/>
        <w:gridCol w:w="2790"/>
      </w:tblGrid>
      <w:tr w:rsidR="00A97B28" w:rsidRPr="006215AE" w14:paraId="5BC27410" w14:textId="77777777" w:rsidTr="00621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1" w:type="dxa"/>
          </w:tcPr>
          <w:p w14:paraId="03DD6D94" w14:textId="77777777" w:rsidR="00644C63" w:rsidRPr="006215AE" w:rsidRDefault="00644C63" w:rsidP="005362C8">
            <w:pPr>
              <w:pStyle w:val="ListParagraph"/>
              <w:ind w:left="0"/>
              <w:jc w:val="both"/>
            </w:pPr>
            <w:proofErr w:type="spellStart"/>
            <w:r w:rsidRPr="006215AE">
              <w:t>S.No</w:t>
            </w:r>
            <w:proofErr w:type="spellEnd"/>
          </w:p>
        </w:tc>
        <w:tc>
          <w:tcPr>
            <w:tcW w:w="2812" w:type="dxa"/>
          </w:tcPr>
          <w:p w14:paraId="60C17645" w14:textId="77777777" w:rsidR="00644C63" w:rsidRPr="006215AE" w:rsidRDefault="00644C63" w:rsidP="005362C8">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Variable Name</w:t>
            </w:r>
          </w:p>
        </w:tc>
        <w:tc>
          <w:tcPr>
            <w:tcW w:w="2272" w:type="dxa"/>
          </w:tcPr>
          <w:p w14:paraId="78E3150C" w14:textId="77777777" w:rsidR="00644C63" w:rsidRPr="006215AE" w:rsidRDefault="00644C63" w:rsidP="005362C8">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Sample Value</w:t>
            </w:r>
          </w:p>
        </w:tc>
        <w:tc>
          <w:tcPr>
            <w:tcW w:w="2790" w:type="dxa"/>
          </w:tcPr>
          <w:p w14:paraId="3AAB6159" w14:textId="77777777" w:rsidR="00644C63" w:rsidRPr="006215AE" w:rsidRDefault="00644C63" w:rsidP="005362C8">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Description</w:t>
            </w:r>
          </w:p>
        </w:tc>
      </w:tr>
      <w:tr w:rsidR="00A97B28" w14:paraId="68D1219E"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4DEB76C2" w14:textId="77777777" w:rsidR="00644C63" w:rsidRDefault="00644C63" w:rsidP="00DD2DD0">
            <w:pPr>
              <w:pStyle w:val="ListParagraph"/>
              <w:ind w:left="0"/>
              <w:jc w:val="center"/>
            </w:pPr>
            <w:r>
              <w:t>1</w:t>
            </w:r>
          </w:p>
        </w:tc>
        <w:tc>
          <w:tcPr>
            <w:tcW w:w="2812" w:type="dxa"/>
          </w:tcPr>
          <w:p w14:paraId="5D37CE5C" w14:textId="77777777" w:rsidR="00644C63" w:rsidRDefault="00644C63"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D75AEE">
              <w:rPr>
                <w:color w:val="FFC000" w:themeColor="accent4"/>
              </w:rPr>
              <w:t>ccilfx.apisocket.host</w:t>
            </w:r>
            <w:proofErr w:type="spellEnd"/>
          </w:p>
        </w:tc>
        <w:tc>
          <w:tcPr>
            <w:tcW w:w="2272" w:type="dxa"/>
          </w:tcPr>
          <w:p w14:paraId="40F4901D" w14:textId="77777777" w:rsidR="00644C63" w:rsidRDefault="008E6562"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t>Pi.fxretail.co.in</w:t>
            </w:r>
            <w:r w:rsidR="00BF42B3">
              <w:t xml:space="preserve"> (Production)</w:t>
            </w:r>
          </w:p>
          <w:p w14:paraId="01498992" w14:textId="77777777" w:rsidR="00BF42B3" w:rsidRDefault="00BF42B3"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t>Pimock.fxretail.co.in (Mock setup)</w:t>
            </w:r>
          </w:p>
          <w:p w14:paraId="7D2F6221" w14:textId="77777777" w:rsidR="00A75611" w:rsidRDefault="00A75611"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p>
          <w:p w14:paraId="1DD47FC2" w14:textId="77777777" w:rsidR="00A75611" w:rsidRDefault="00A75611"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t>Clearcorp</w:t>
            </w:r>
            <w:proofErr w:type="spellEnd"/>
            <w:r>
              <w:t xml:space="preserve"> INFINET IP</w:t>
            </w:r>
          </w:p>
        </w:tc>
        <w:tc>
          <w:tcPr>
            <w:tcW w:w="2790" w:type="dxa"/>
          </w:tcPr>
          <w:p w14:paraId="7C35E68D" w14:textId="77777777" w:rsidR="00644C63" w:rsidRDefault="00644C63" w:rsidP="00ED5D1A">
            <w:pPr>
              <w:pStyle w:val="ListParagraph"/>
              <w:ind w:left="0"/>
              <w:cnfStyle w:val="000000000000" w:firstRow="0" w:lastRow="0" w:firstColumn="0" w:lastColumn="0" w:oddVBand="0" w:evenVBand="0" w:oddHBand="0" w:evenHBand="0" w:firstRowFirstColumn="0" w:firstRowLastColumn="0" w:lastRowFirstColumn="0" w:lastRowLastColumn="0"/>
            </w:pPr>
            <w:r>
              <w:t xml:space="preserve">Indicates the API server IP address </w:t>
            </w:r>
            <w:r w:rsidR="00ED5D1A">
              <w:t>in case member wants to connect over internet</w:t>
            </w:r>
          </w:p>
          <w:p w14:paraId="3ADAAE74" w14:textId="77777777" w:rsidR="00A75611" w:rsidRDefault="00A75611" w:rsidP="00ED5D1A">
            <w:pPr>
              <w:pStyle w:val="ListParagraph"/>
              <w:ind w:left="0"/>
              <w:cnfStyle w:val="000000000000" w:firstRow="0" w:lastRow="0" w:firstColumn="0" w:lastColumn="0" w:oddVBand="0" w:evenVBand="0" w:oddHBand="0" w:evenHBand="0" w:firstRowFirstColumn="0" w:firstRowLastColumn="0" w:lastRowFirstColumn="0" w:lastRowLastColumn="0"/>
            </w:pPr>
          </w:p>
          <w:p w14:paraId="72635C19" w14:textId="77777777" w:rsidR="00A75611" w:rsidRDefault="00A75611" w:rsidP="00ED5D1A">
            <w:pPr>
              <w:pStyle w:val="ListParagraph"/>
              <w:ind w:left="0"/>
              <w:cnfStyle w:val="000000000000" w:firstRow="0" w:lastRow="0" w:firstColumn="0" w:lastColumn="0" w:oddVBand="0" w:evenVBand="0" w:oddHBand="0" w:evenHBand="0" w:firstRowFirstColumn="0" w:firstRowLastColumn="0" w:lastRowFirstColumn="0" w:lastRowLastColumn="0"/>
            </w:pPr>
            <w:r>
              <w:lastRenderedPageBreak/>
              <w:t>Indicates the API server IP address in case member wants to connect over INFINET</w:t>
            </w:r>
          </w:p>
        </w:tc>
      </w:tr>
      <w:tr w:rsidR="00A97B28" w14:paraId="0FB04457"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3A039206" w14:textId="77777777" w:rsidR="00644C63" w:rsidRDefault="00320B92" w:rsidP="00DD2DD0">
            <w:pPr>
              <w:pStyle w:val="ListParagraph"/>
              <w:ind w:left="0"/>
              <w:jc w:val="center"/>
            </w:pPr>
            <w:r>
              <w:lastRenderedPageBreak/>
              <w:t>2</w:t>
            </w:r>
          </w:p>
          <w:p w14:paraId="3605D209" w14:textId="77777777" w:rsidR="00ED5D1A" w:rsidRDefault="00ED5D1A" w:rsidP="00DD2DD0">
            <w:pPr>
              <w:pStyle w:val="ListParagraph"/>
              <w:ind w:left="0"/>
              <w:jc w:val="center"/>
            </w:pPr>
          </w:p>
        </w:tc>
        <w:tc>
          <w:tcPr>
            <w:tcW w:w="2812" w:type="dxa"/>
          </w:tcPr>
          <w:p w14:paraId="185785A7" w14:textId="77777777" w:rsidR="00644C63" w:rsidRDefault="00644C63"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1E663D">
              <w:rPr>
                <w:color w:val="538135" w:themeColor="accent6" w:themeShade="BF"/>
              </w:rPr>
              <w:t>ccilfx.apisocket.port</w:t>
            </w:r>
            <w:proofErr w:type="spellEnd"/>
          </w:p>
        </w:tc>
        <w:tc>
          <w:tcPr>
            <w:tcW w:w="2272" w:type="dxa"/>
          </w:tcPr>
          <w:p w14:paraId="70AF1E19" w14:textId="77777777" w:rsidR="00644C63" w:rsidRDefault="00786244"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t>443</w:t>
            </w:r>
          </w:p>
        </w:tc>
        <w:tc>
          <w:tcPr>
            <w:tcW w:w="2790" w:type="dxa"/>
          </w:tcPr>
          <w:p w14:paraId="09229B66" w14:textId="77777777" w:rsidR="00644C63" w:rsidRDefault="00320B92" w:rsidP="005362C8">
            <w:pPr>
              <w:pStyle w:val="ListParagraph"/>
              <w:ind w:left="0"/>
              <w:cnfStyle w:val="000000000000" w:firstRow="0" w:lastRow="0" w:firstColumn="0" w:lastColumn="0" w:oddVBand="0" w:evenVBand="0" w:oddHBand="0" w:evenHBand="0" w:firstRowFirstColumn="0" w:firstRowLastColumn="0" w:lastRowFirstColumn="0" w:lastRowLastColumn="0"/>
            </w:pPr>
            <w:r>
              <w:t>Indicates the application port</w:t>
            </w:r>
          </w:p>
        </w:tc>
      </w:tr>
      <w:tr w:rsidR="00A97B28" w14:paraId="0169F4A8"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783A7E7E" w14:textId="77777777" w:rsidR="00644C63" w:rsidRDefault="00320B92" w:rsidP="00DD2DD0">
            <w:pPr>
              <w:pStyle w:val="ListParagraph"/>
              <w:ind w:left="0"/>
              <w:jc w:val="center"/>
            </w:pPr>
            <w:r>
              <w:t>3</w:t>
            </w:r>
          </w:p>
        </w:tc>
        <w:tc>
          <w:tcPr>
            <w:tcW w:w="2812" w:type="dxa"/>
          </w:tcPr>
          <w:p w14:paraId="77138D26" w14:textId="77777777" w:rsidR="00644C63" w:rsidRPr="001E663D" w:rsidRDefault="00320B92" w:rsidP="005362C8">
            <w:pPr>
              <w:pStyle w:val="ListParagraph"/>
              <w:ind w:left="0"/>
              <w:jc w:val="both"/>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D75AEE">
              <w:rPr>
                <w:color w:val="FFC000" w:themeColor="accent4"/>
              </w:rPr>
              <w:t>ccilfx.apisocket.participant</w:t>
            </w:r>
            <w:proofErr w:type="spellEnd"/>
          </w:p>
        </w:tc>
        <w:tc>
          <w:tcPr>
            <w:tcW w:w="2272" w:type="dxa"/>
          </w:tcPr>
          <w:p w14:paraId="441AE1DE" w14:textId="77777777" w:rsidR="00644C63" w:rsidRDefault="005A7351"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t xml:space="preserve">For example </w:t>
            </w:r>
            <w:r w:rsidR="00320B92" w:rsidRPr="00320B92">
              <w:t>CCBPHDFC0005</w:t>
            </w:r>
          </w:p>
        </w:tc>
        <w:tc>
          <w:tcPr>
            <w:tcW w:w="2790" w:type="dxa"/>
          </w:tcPr>
          <w:p w14:paraId="5657CD40" w14:textId="77777777" w:rsidR="00644C63" w:rsidRPr="00320B92" w:rsidRDefault="00320B92" w:rsidP="005362C8">
            <w:pPr>
              <w:pStyle w:val="ListParagraph"/>
              <w:ind w:left="0"/>
              <w:cnfStyle w:val="000000000000" w:firstRow="0" w:lastRow="0" w:firstColumn="0" w:lastColumn="0" w:oddVBand="0" w:evenVBand="0" w:oddHBand="0" w:evenHBand="0" w:firstRowFirstColumn="0" w:firstRowLastColumn="0" w:lastRowFirstColumn="0" w:lastRowLastColumn="0"/>
            </w:pPr>
            <w:r>
              <w:t>Specifies the participant Id assigned by RFE.</w:t>
            </w:r>
            <w:r>
              <w:br/>
            </w:r>
            <w:r w:rsidRPr="00320B92">
              <w:rPr>
                <w:b/>
              </w:rPr>
              <w:t>For banks:</w:t>
            </w:r>
            <w:r>
              <w:rPr>
                <w:b/>
              </w:rPr>
              <w:t xml:space="preserve"> </w:t>
            </w:r>
            <w:r>
              <w:t>Specify the CCIL Membership Id</w:t>
            </w:r>
            <w:r>
              <w:br/>
            </w:r>
            <w:r w:rsidRPr="00320B92">
              <w:rPr>
                <w:b/>
              </w:rPr>
              <w:t>For Customers:</w:t>
            </w:r>
            <w:r>
              <w:t xml:space="preserve"> Specify the Customer Id</w:t>
            </w:r>
          </w:p>
        </w:tc>
      </w:tr>
      <w:tr w:rsidR="00A97B28" w14:paraId="2F627332"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58DB93CB" w14:textId="77777777" w:rsidR="00644C63" w:rsidRDefault="00320B92" w:rsidP="00DD2DD0">
            <w:pPr>
              <w:pStyle w:val="ListParagraph"/>
              <w:ind w:left="0"/>
              <w:jc w:val="center"/>
            </w:pPr>
            <w:r>
              <w:t>4</w:t>
            </w:r>
          </w:p>
        </w:tc>
        <w:tc>
          <w:tcPr>
            <w:tcW w:w="2812" w:type="dxa"/>
          </w:tcPr>
          <w:p w14:paraId="7AC1A684" w14:textId="77777777" w:rsidR="00644C63" w:rsidRPr="001E663D" w:rsidRDefault="00320B92" w:rsidP="005362C8">
            <w:pPr>
              <w:pStyle w:val="ListParagraph"/>
              <w:ind w:left="0"/>
              <w:jc w:val="both"/>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D75AEE">
              <w:rPr>
                <w:color w:val="FFC000" w:themeColor="accent4"/>
              </w:rPr>
              <w:t>ccilfx.apisocket.CERDirectory</w:t>
            </w:r>
            <w:proofErr w:type="spellEnd"/>
          </w:p>
        </w:tc>
        <w:tc>
          <w:tcPr>
            <w:tcW w:w="2272" w:type="dxa"/>
          </w:tcPr>
          <w:p w14:paraId="721DFE1A" w14:textId="77777777" w:rsidR="00644C63" w:rsidRPr="00320B92" w:rsidRDefault="009C5EDE"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rsidRPr="00320B92">
              <w:rPr>
                <w:szCs w:val="20"/>
              </w:rPr>
              <w:t>C:\FXRetailApplication\</w:t>
            </w:r>
            <w:r>
              <w:rPr>
                <w:szCs w:val="20"/>
              </w:rPr>
              <w:t>API\</w:t>
            </w:r>
            <w:r w:rsidRPr="00320B92">
              <w:rPr>
                <w:szCs w:val="20"/>
              </w:rPr>
              <w:t>PKI\</w:t>
            </w:r>
          </w:p>
        </w:tc>
        <w:tc>
          <w:tcPr>
            <w:tcW w:w="2790" w:type="dxa"/>
          </w:tcPr>
          <w:p w14:paraId="03AA17DF" w14:textId="77777777" w:rsidR="00644C63" w:rsidRDefault="00320B92" w:rsidP="005362C8">
            <w:pPr>
              <w:pStyle w:val="ListParagraph"/>
              <w:ind w:left="0"/>
              <w:cnfStyle w:val="000000000000" w:firstRow="0" w:lastRow="0" w:firstColumn="0" w:lastColumn="0" w:oddVBand="0" w:evenVBand="0" w:oddHBand="0" w:evenHBand="0" w:firstRowFirstColumn="0" w:firstRowLastColumn="0" w:lastRowFirstColumn="0" w:lastRowLastColumn="0"/>
            </w:pPr>
            <w:r>
              <w:t>Specifies the file path of the API server public key</w:t>
            </w:r>
          </w:p>
        </w:tc>
      </w:tr>
      <w:tr w:rsidR="00A97B28" w14:paraId="096CAF7B"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6EEA0CF1" w14:textId="77777777" w:rsidR="00644C63" w:rsidRDefault="00320B92" w:rsidP="00DD2DD0">
            <w:pPr>
              <w:pStyle w:val="ListParagraph"/>
              <w:ind w:left="0"/>
              <w:jc w:val="center"/>
            </w:pPr>
            <w:r>
              <w:t>5</w:t>
            </w:r>
          </w:p>
        </w:tc>
        <w:tc>
          <w:tcPr>
            <w:tcW w:w="2812" w:type="dxa"/>
          </w:tcPr>
          <w:p w14:paraId="23FF7A34" w14:textId="77777777" w:rsidR="00644C63" w:rsidRPr="001E663D" w:rsidRDefault="00320B92" w:rsidP="005362C8">
            <w:pPr>
              <w:pStyle w:val="ListParagraph"/>
              <w:ind w:left="0"/>
              <w:jc w:val="both"/>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D75AEE">
              <w:rPr>
                <w:color w:val="FFC000" w:themeColor="accent4"/>
              </w:rPr>
              <w:t>ccilfx.apisocket.PFXDirectory</w:t>
            </w:r>
            <w:proofErr w:type="spellEnd"/>
          </w:p>
        </w:tc>
        <w:tc>
          <w:tcPr>
            <w:tcW w:w="2272" w:type="dxa"/>
          </w:tcPr>
          <w:p w14:paraId="1AFFF216" w14:textId="77777777" w:rsidR="00644C63" w:rsidRDefault="009C5EDE"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rsidRPr="00320B92">
              <w:rPr>
                <w:szCs w:val="20"/>
              </w:rPr>
              <w:t>C:\FXRetailApplication\</w:t>
            </w:r>
            <w:r>
              <w:rPr>
                <w:szCs w:val="20"/>
              </w:rPr>
              <w:t>API\</w:t>
            </w:r>
            <w:r w:rsidRPr="00320B92">
              <w:rPr>
                <w:szCs w:val="20"/>
              </w:rPr>
              <w:t>PKI\</w:t>
            </w:r>
          </w:p>
        </w:tc>
        <w:tc>
          <w:tcPr>
            <w:tcW w:w="2790" w:type="dxa"/>
          </w:tcPr>
          <w:p w14:paraId="67F6FD9F" w14:textId="77777777" w:rsidR="00644C63" w:rsidRDefault="00320B92">
            <w:pPr>
              <w:pStyle w:val="ListParagraph"/>
              <w:ind w:left="0"/>
              <w:cnfStyle w:val="000000000000" w:firstRow="0" w:lastRow="0" w:firstColumn="0" w:lastColumn="0" w:oddVBand="0" w:evenVBand="0" w:oddHBand="0" w:evenHBand="0" w:firstRowFirstColumn="0" w:firstRowLastColumn="0" w:lastRowFirstColumn="0" w:lastRowLastColumn="0"/>
            </w:pPr>
            <w:r>
              <w:t>Specifies the file path of the PI client private key</w:t>
            </w:r>
          </w:p>
        </w:tc>
      </w:tr>
      <w:tr w:rsidR="00A97B28" w14:paraId="30C73E97"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2994B8AF" w14:textId="77777777" w:rsidR="00644C63" w:rsidRDefault="00320B92" w:rsidP="00DD2DD0">
            <w:pPr>
              <w:pStyle w:val="ListParagraph"/>
              <w:ind w:left="0"/>
              <w:jc w:val="center"/>
            </w:pPr>
            <w:r>
              <w:t>6</w:t>
            </w:r>
          </w:p>
        </w:tc>
        <w:tc>
          <w:tcPr>
            <w:tcW w:w="2812" w:type="dxa"/>
          </w:tcPr>
          <w:p w14:paraId="497DD17D" w14:textId="77777777" w:rsidR="00644C63" w:rsidRPr="001E663D" w:rsidRDefault="00F57C78" w:rsidP="005362C8">
            <w:pPr>
              <w:pStyle w:val="ListParagraph"/>
              <w:ind w:left="0"/>
              <w:jc w:val="both"/>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D75AEE">
              <w:rPr>
                <w:color w:val="FFC000" w:themeColor="accent4"/>
              </w:rPr>
              <w:t>ccilfx.apisocket.PFXPassword</w:t>
            </w:r>
            <w:proofErr w:type="spellEnd"/>
          </w:p>
        </w:tc>
        <w:tc>
          <w:tcPr>
            <w:tcW w:w="2272" w:type="dxa"/>
          </w:tcPr>
          <w:p w14:paraId="7ADA7FEC" w14:textId="77777777" w:rsidR="00644C63" w:rsidRDefault="00A97B28" w:rsidP="005362C8">
            <w:pPr>
              <w:pStyle w:val="ListParagraph"/>
              <w:ind w:left="0"/>
              <w:jc w:val="both"/>
              <w:cnfStyle w:val="000000000000" w:firstRow="0" w:lastRow="0" w:firstColumn="0" w:lastColumn="0" w:oddVBand="0" w:evenVBand="0" w:oddHBand="0" w:evenHBand="0" w:firstRowFirstColumn="0" w:firstRowLastColumn="0" w:lastRowFirstColumn="0" w:lastRowLastColumn="0"/>
            </w:pPr>
            <w:r w:rsidRPr="00A97B28">
              <w:t>hW86CxzIxqbujs38Eu279Q==</w:t>
            </w:r>
          </w:p>
        </w:tc>
        <w:tc>
          <w:tcPr>
            <w:tcW w:w="2790" w:type="dxa"/>
          </w:tcPr>
          <w:p w14:paraId="2B6A86EF" w14:textId="77777777" w:rsidR="00644C63" w:rsidRDefault="00F57C78">
            <w:pPr>
              <w:pStyle w:val="ListParagraph"/>
              <w:ind w:left="0"/>
              <w:cnfStyle w:val="000000000000" w:firstRow="0" w:lastRow="0" w:firstColumn="0" w:lastColumn="0" w:oddVBand="0" w:evenVBand="0" w:oddHBand="0" w:evenHBand="0" w:firstRowFirstColumn="0" w:firstRowLastColumn="0" w:lastRowFirstColumn="0" w:lastRowLastColumn="0"/>
            </w:pPr>
            <w:r>
              <w:t>Specifies the encrypted password of the PI client private key</w:t>
            </w:r>
            <w:r w:rsidR="00A97B28">
              <w:t xml:space="preserve"> file</w:t>
            </w:r>
          </w:p>
        </w:tc>
      </w:tr>
      <w:tr w:rsidR="00A97B28" w14:paraId="6D8EEEF2"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66B8F06F" w14:textId="77777777" w:rsidR="00644C63" w:rsidRDefault="00F57C78" w:rsidP="00DD2DD0">
            <w:pPr>
              <w:pStyle w:val="ListParagraph"/>
              <w:ind w:left="0"/>
              <w:jc w:val="center"/>
            </w:pPr>
            <w:r>
              <w:t>7</w:t>
            </w:r>
          </w:p>
        </w:tc>
        <w:tc>
          <w:tcPr>
            <w:tcW w:w="2812" w:type="dxa"/>
          </w:tcPr>
          <w:p w14:paraId="5FECBA66" w14:textId="77777777" w:rsidR="00644C63" w:rsidRPr="001E663D" w:rsidRDefault="00714E95" w:rsidP="005362C8">
            <w:pPr>
              <w:pStyle w:val="ListParagraph"/>
              <w:ind w:left="0"/>
              <w:jc w:val="both"/>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1E663D">
              <w:rPr>
                <w:color w:val="538135" w:themeColor="accent6" w:themeShade="BF"/>
              </w:rPr>
              <w:t>ccilfx.apisocket.messageLogLocation</w:t>
            </w:r>
            <w:proofErr w:type="spellEnd"/>
          </w:p>
        </w:tc>
        <w:tc>
          <w:tcPr>
            <w:tcW w:w="2272" w:type="dxa"/>
          </w:tcPr>
          <w:p w14:paraId="17B7C05C" w14:textId="77777777" w:rsidR="00644C63" w:rsidRDefault="005C0CA8">
            <w:pPr>
              <w:pStyle w:val="ListParagraph"/>
              <w:ind w:left="0"/>
              <w:jc w:val="both"/>
              <w:cnfStyle w:val="000000000000" w:firstRow="0" w:lastRow="0" w:firstColumn="0" w:lastColumn="0" w:oddVBand="0" w:evenVBand="0" w:oddHBand="0" w:evenHBand="0" w:firstRowFirstColumn="0" w:firstRowLastColumn="0" w:lastRowFirstColumn="0" w:lastRowLastColumn="0"/>
            </w:pPr>
            <w:r>
              <w:t>C</w:t>
            </w:r>
            <w:r w:rsidRPr="00A97B28">
              <w:t>:\FXRetail</w:t>
            </w:r>
            <w:r w:rsidR="00361F6C">
              <w:t>Application</w:t>
            </w:r>
            <w:r w:rsidRPr="00A97B28">
              <w:t>\</w:t>
            </w:r>
            <w:r w:rsidR="00361F6C">
              <w:t>Trades</w:t>
            </w:r>
          </w:p>
        </w:tc>
        <w:tc>
          <w:tcPr>
            <w:tcW w:w="2790" w:type="dxa"/>
          </w:tcPr>
          <w:p w14:paraId="7F5B5313" w14:textId="77777777" w:rsidR="00644C63" w:rsidRDefault="00A97B28" w:rsidP="005362C8">
            <w:pPr>
              <w:pStyle w:val="ListParagraph"/>
              <w:ind w:left="0"/>
              <w:cnfStyle w:val="000000000000" w:firstRow="0" w:lastRow="0" w:firstColumn="0" w:lastColumn="0" w:oddVBand="0" w:evenVBand="0" w:oddHBand="0" w:evenHBand="0" w:firstRowFirstColumn="0" w:firstRowLastColumn="0" w:lastRowFirstColumn="0" w:lastRowLastColumn="0"/>
            </w:pPr>
            <w:r>
              <w:t>Specifies the file path wherein the trade files to be downloaded</w:t>
            </w:r>
          </w:p>
        </w:tc>
      </w:tr>
      <w:tr w:rsidR="005C0CA8" w14:paraId="09410772"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1F719B40" w14:textId="77777777" w:rsidR="005C0CA8" w:rsidRPr="008555BB" w:rsidRDefault="005C0CA8" w:rsidP="00DD2DD0">
            <w:pPr>
              <w:pStyle w:val="ListParagraph"/>
              <w:ind w:left="0"/>
              <w:jc w:val="center"/>
              <w:rPr>
                <w:sz w:val="20"/>
                <w:szCs w:val="20"/>
              </w:rPr>
            </w:pPr>
            <w:r w:rsidRPr="008555BB">
              <w:rPr>
                <w:sz w:val="20"/>
                <w:szCs w:val="20"/>
              </w:rPr>
              <w:t>8</w:t>
            </w:r>
          </w:p>
        </w:tc>
        <w:tc>
          <w:tcPr>
            <w:tcW w:w="2812" w:type="dxa"/>
            <w:vAlign w:val="center"/>
          </w:tcPr>
          <w:p w14:paraId="645D97ED" w14:textId="77777777" w:rsidR="005C0CA8" w:rsidRPr="001E663D" w:rsidRDefault="005C0CA8" w:rsidP="00D2017E">
            <w:pPr>
              <w:pStyle w:val="ListParagraph"/>
              <w:ind w:left="0"/>
              <w:cnfStyle w:val="000000000000" w:firstRow="0" w:lastRow="0" w:firstColumn="0" w:lastColumn="0" w:oddVBand="0" w:evenVBand="0" w:oddHBand="0" w:evenHBand="0" w:firstRowFirstColumn="0" w:firstRowLastColumn="0" w:lastRowFirstColumn="0" w:lastRowLastColumn="0"/>
              <w:rPr>
                <w:color w:val="538135" w:themeColor="accent6" w:themeShade="BF"/>
              </w:rPr>
            </w:pPr>
            <w:proofErr w:type="spellStart"/>
            <w:r w:rsidRPr="001E663D">
              <w:rPr>
                <w:color w:val="538135" w:themeColor="accent6" w:themeShade="BF"/>
              </w:rPr>
              <w:t>ccilfx.pi.protocol</w:t>
            </w:r>
            <w:proofErr w:type="spellEnd"/>
          </w:p>
        </w:tc>
        <w:tc>
          <w:tcPr>
            <w:tcW w:w="2272" w:type="dxa"/>
            <w:vAlign w:val="center"/>
          </w:tcPr>
          <w:p w14:paraId="759A4958" w14:textId="77777777" w:rsidR="005C0CA8" w:rsidRPr="00A97B28" w:rsidRDefault="00DF2709" w:rsidP="00D2017E">
            <w:pPr>
              <w:pStyle w:val="ListParagraph"/>
              <w:ind w:left="0"/>
              <w:cnfStyle w:val="000000000000" w:firstRow="0" w:lastRow="0" w:firstColumn="0" w:lastColumn="0" w:oddVBand="0" w:evenVBand="0" w:oddHBand="0" w:evenHBand="0" w:firstRowFirstColumn="0" w:firstRowLastColumn="0" w:lastRowFirstColumn="0" w:lastRowLastColumn="0"/>
            </w:pPr>
            <w:r>
              <w:t>HTTP</w:t>
            </w:r>
          </w:p>
        </w:tc>
        <w:tc>
          <w:tcPr>
            <w:tcW w:w="2790" w:type="dxa"/>
            <w:vAlign w:val="center"/>
          </w:tcPr>
          <w:p w14:paraId="3AFCA48A" w14:textId="77777777" w:rsidR="005C0CA8" w:rsidRDefault="005C0CA8" w:rsidP="00DF2709">
            <w:pPr>
              <w:pStyle w:val="ListParagraph"/>
              <w:ind w:left="0"/>
              <w:cnfStyle w:val="000000000000" w:firstRow="0" w:lastRow="0" w:firstColumn="0" w:lastColumn="0" w:oddVBand="0" w:evenVBand="0" w:oddHBand="0" w:evenHBand="0" w:firstRowFirstColumn="0" w:firstRowLastColumn="0" w:lastRowFirstColumn="0" w:lastRowLastColumn="0"/>
            </w:pPr>
            <w:r>
              <w:t xml:space="preserve">Specifies the communication protocol to be used when transferring messages from </w:t>
            </w:r>
            <w:r w:rsidRPr="00796397">
              <w:t>PI</w:t>
            </w:r>
            <w:r w:rsidR="00475422">
              <w:t xml:space="preserve"> to HUB</w:t>
            </w:r>
            <w:r>
              <w:t>. It should</w:t>
            </w:r>
            <w:r w:rsidRPr="00796397">
              <w:t xml:space="preserve"> be </w:t>
            </w:r>
            <w:r>
              <w:t xml:space="preserve">either </w:t>
            </w:r>
            <w:r w:rsidRPr="0065727A">
              <w:rPr>
                <w:b/>
              </w:rPr>
              <w:t>HTTP</w:t>
            </w:r>
            <w:r w:rsidR="005B3EF1">
              <w:rPr>
                <w:b/>
              </w:rPr>
              <w:t xml:space="preserve"> or NONE</w:t>
            </w:r>
          </w:p>
        </w:tc>
      </w:tr>
    </w:tbl>
    <w:p w14:paraId="1EC75491" w14:textId="77777777" w:rsidR="005F65CD" w:rsidRDefault="005F65CD" w:rsidP="005F65CD">
      <w:pPr>
        <w:pStyle w:val="ListParagraph"/>
        <w:jc w:val="both"/>
      </w:pPr>
    </w:p>
    <w:p w14:paraId="60040256" w14:textId="77777777" w:rsidR="0078428E" w:rsidRPr="00D3713A" w:rsidRDefault="0078428E" w:rsidP="0078428E">
      <w:pPr>
        <w:ind w:left="360"/>
        <w:jc w:val="both"/>
        <w:rPr>
          <w:b/>
        </w:rPr>
      </w:pPr>
      <w:r>
        <w:rPr>
          <w:b/>
        </w:rPr>
        <w:t>Table 2</w:t>
      </w:r>
    </w:p>
    <w:p w14:paraId="14DA77E9" w14:textId="77777777" w:rsidR="0078428E" w:rsidRPr="0078428E" w:rsidRDefault="0078428E" w:rsidP="00DD2DD0">
      <w:pPr>
        <w:ind w:left="360"/>
        <w:jc w:val="both"/>
      </w:pPr>
      <w:r>
        <w:t xml:space="preserve">The following configurations are required </w:t>
      </w:r>
      <w:r w:rsidRPr="00DD2DD0">
        <w:rPr>
          <w:b/>
          <w:u w:val="single"/>
        </w:rPr>
        <w:t>only when</w:t>
      </w:r>
      <w:r>
        <w:t xml:space="preserve"> the value of </w:t>
      </w:r>
      <w:proofErr w:type="spellStart"/>
      <w:r w:rsidRPr="00DD2DD0">
        <w:rPr>
          <w:b/>
        </w:rPr>
        <w:t>ccilfx.pi.protocol</w:t>
      </w:r>
      <w:proofErr w:type="spellEnd"/>
      <w:r>
        <w:rPr>
          <w:b/>
        </w:rPr>
        <w:t xml:space="preserve"> </w:t>
      </w:r>
      <w:r>
        <w:t>is HTTP.</w:t>
      </w:r>
    </w:p>
    <w:tbl>
      <w:tblPr>
        <w:tblStyle w:val="GridTable1Light1"/>
        <w:tblW w:w="0" w:type="auto"/>
        <w:tblInd w:w="445" w:type="dxa"/>
        <w:tblLayout w:type="fixed"/>
        <w:tblLook w:val="04A0" w:firstRow="1" w:lastRow="0" w:firstColumn="1" w:lastColumn="0" w:noHBand="0" w:noVBand="1"/>
      </w:tblPr>
      <w:tblGrid>
        <w:gridCol w:w="671"/>
        <w:gridCol w:w="2812"/>
        <w:gridCol w:w="2272"/>
        <w:gridCol w:w="2790"/>
      </w:tblGrid>
      <w:tr w:rsidR="0078428E" w:rsidRPr="006215AE" w14:paraId="7CBD5F49" w14:textId="77777777" w:rsidTr="007842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1" w:type="dxa"/>
          </w:tcPr>
          <w:p w14:paraId="1C36D0E1" w14:textId="77777777" w:rsidR="0078428E" w:rsidRPr="006215AE" w:rsidRDefault="0078428E" w:rsidP="008E4FBA">
            <w:pPr>
              <w:pStyle w:val="ListParagraph"/>
              <w:ind w:left="0"/>
              <w:jc w:val="both"/>
            </w:pPr>
            <w:proofErr w:type="spellStart"/>
            <w:r w:rsidRPr="006215AE">
              <w:t>S.No</w:t>
            </w:r>
            <w:proofErr w:type="spellEnd"/>
          </w:p>
        </w:tc>
        <w:tc>
          <w:tcPr>
            <w:tcW w:w="2812" w:type="dxa"/>
          </w:tcPr>
          <w:p w14:paraId="7DF81A28" w14:textId="77777777" w:rsidR="0078428E" w:rsidRPr="006215AE" w:rsidRDefault="0078428E"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Variable Name</w:t>
            </w:r>
          </w:p>
        </w:tc>
        <w:tc>
          <w:tcPr>
            <w:tcW w:w="2272" w:type="dxa"/>
          </w:tcPr>
          <w:p w14:paraId="3210693E" w14:textId="77777777" w:rsidR="0078428E" w:rsidRPr="006215AE" w:rsidRDefault="0078428E"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Sample Value</w:t>
            </w:r>
          </w:p>
        </w:tc>
        <w:tc>
          <w:tcPr>
            <w:tcW w:w="2790" w:type="dxa"/>
          </w:tcPr>
          <w:p w14:paraId="3AA23AFA" w14:textId="77777777" w:rsidR="0078428E" w:rsidRPr="006215AE" w:rsidRDefault="0078428E"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Description</w:t>
            </w:r>
          </w:p>
        </w:tc>
      </w:tr>
      <w:tr w:rsidR="00570DDA" w:rsidRPr="00796397" w14:paraId="2E54F4E0"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07FD64E4" w14:textId="77777777" w:rsidR="00570DDA" w:rsidRPr="008555BB" w:rsidRDefault="00570DDA" w:rsidP="00DD2DD0">
            <w:pPr>
              <w:pStyle w:val="ListParagraph"/>
              <w:ind w:left="0"/>
              <w:jc w:val="center"/>
              <w:rPr>
                <w:sz w:val="20"/>
                <w:szCs w:val="20"/>
              </w:rPr>
            </w:pPr>
            <w:r>
              <w:rPr>
                <w:sz w:val="20"/>
                <w:szCs w:val="20"/>
              </w:rPr>
              <w:t>9</w:t>
            </w:r>
          </w:p>
        </w:tc>
        <w:tc>
          <w:tcPr>
            <w:tcW w:w="2812" w:type="dxa"/>
            <w:vAlign w:val="center"/>
          </w:tcPr>
          <w:p w14:paraId="1F142B90" w14:textId="77777777" w:rsidR="00570DDA" w:rsidRPr="00D75AEE"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D75AEE">
              <w:rPr>
                <w:color w:val="FFC000" w:themeColor="accent4"/>
              </w:rPr>
              <w:t>ccilfx.pi.host</w:t>
            </w:r>
            <w:proofErr w:type="spellEnd"/>
          </w:p>
        </w:tc>
        <w:tc>
          <w:tcPr>
            <w:tcW w:w="2272" w:type="dxa"/>
            <w:vAlign w:val="center"/>
          </w:tcPr>
          <w:p w14:paraId="63D7F7A5" w14:textId="77777777" w:rsidR="00570DDA"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172.19.103.98</w:t>
            </w:r>
          </w:p>
        </w:tc>
        <w:tc>
          <w:tcPr>
            <w:tcW w:w="2790" w:type="dxa"/>
            <w:vAlign w:val="center"/>
          </w:tcPr>
          <w:p w14:paraId="6F4467F4" w14:textId="77777777" w:rsidR="00570DDA" w:rsidRPr="00796397"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Indicates the IP address of the PI client machine</w:t>
            </w:r>
          </w:p>
        </w:tc>
      </w:tr>
      <w:tr w:rsidR="00570DDA" w:rsidRPr="00796397" w14:paraId="6FE7337D"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0C430B52" w14:textId="77777777" w:rsidR="00570DDA" w:rsidRPr="008555BB" w:rsidRDefault="00570DDA" w:rsidP="00DD2DD0">
            <w:pPr>
              <w:pStyle w:val="ListParagraph"/>
              <w:ind w:left="0"/>
              <w:jc w:val="center"/>
              <w:rPr>
                <w:sz w:val="20"/>
                <w:szCs w:val="20"/>
              </w:rPr>
            </w:pPr>
            <w:r>
              <w:rPr>
                <w:sz w:val="20"/>
                <w:szCs w:val="20"/>
              </w:rPr>
              <w:t>10</w:t>
            </w:r>
          </w:p>
        </w:tc>
        <w:tc>
          <w:tcPr>
            <w:tcW w:w="2812" w:type="dxa"/>
            <w:vAlign w:val="center"/>
          </w:tcPr>
          <w:p w14:paraId="03160962" w14:textId="77777777" w:rsidR="00570DDA" w:rsidRPr="00796397"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D75AEE">
              <w:rPr>
                <w:color w:val="FFC000" w:themeColor="accent4"/>
              </w:rPr>
              <w:t>ccilfx.pi.port</w:t>
            </w:r>
            <w:proofErr w:type="spellEnd"/>
          </w:p>
        </w:tc>
        <w:tc>
          <w:tcPr>
            <w:tcW w:w="2272" w:type="dxa"/>
            <w:vAlign w:val="center"/>
          </w:tcPr>
          <w:p w14:paraId="7F7297BD" w14:textId="77777777" w:rsidR="00570DDA"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8025</w:t>
            </w:r>
          </w:p>
        </w:tc>
        <w:tc>
          <w:tcPr>
            <w:tcW w:w="2790" w:type="dxa"/>
            <w:vAlign w:val="center"/>
          </w:tcPr>
          <w:p w14:paraId="6A343521" w14:textId="77777777" w:rsidR="00570DDA"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Indicates the PI client listening port</w:t>
            </w:r>
          </w:p>
        </w:tc>
      </w:tr>
      <w:tr w:rsidR="00570DDA" w:rsidRPr="00796397" w14:paraId="247E0167"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13AF2FF5" w14:textId="77777777" w:rsidR="00570DDA" w:rsidRPr="008555BB" w:rsidRDefault="00570DDA" w:rsidP="00DD2DD0">
            <w:pPr>
              <w:pStyle w:val="ListParagraph"/>
              <w:ind w:left="0"/>
              <w:jc w:val="center"/>
              <w:rPr>
                <w:sz w:val="20"/>
                <w:szCs w:val="20"/>
              </w:rPr>
            </w:pPr>
            <w:r>
              <w:rPr>
                <w:sz w:val="20"/>
                <w:szCs w:val="20"/>
              </w:rPr>
              <w:t>11</w:t>
            </w:r>
          </w:p>
        </w:tc>
        <w:tc>
          <w:tcPr>
            <w:tcW w:w="2812" w:type="dxa"/>
            <w:vAlign w:val="center"/>
          </w:tcPr>
          <w:p w14:paraId="42CF930F" w14:textId="77777777" w:rsidR="00570DDA" w:rsidRPr="00796397"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D75AEE">
              <w:rPr>
                <w:color w:val="FFC000" w:themeColor="accent4"/>
              </w:rPr>
              <w:t>ccilfx.pi.queuedMessageLocation</w:t>
            </w:r>
            <w:proofErr w:type="spellEnd"/>
          </w:p>
        </w:tc>
        <w:tc>
          <w:tcPr>
            <w:tcW w:w="2272" w:type="dxa"/>
            <w:vAlign w:val="center"/>
          </w:tcPr>
          <w:p w14:paraId="3049841C" w14:textId="77777777" w:rsidR="00570DDA"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C</w:t>
            </w:r>
            <w:r w:rsidRPr="00A97B28">
              <w:t>:\FXRetail\PI\</w:t>
            </w:r>
            <w:r>
              <w:t>PI</w:t>
            </w:r>
            <w:r w:rsidRPr="00A97B28">
              <w:t>MessageLog</w:t>
            </w:r>
          </w:p>
        </w:tc>
        <w:tc>
          <w:tcPr>
            <w:tcW w:w="2790" w:type="dxa"/>
            <w:vAlign w:val="center"/>
          </w:tcPr>
          <w:p w14:paraId="0F5E01F6" w14:textId="77777777" w:rsidR="00570DDA" w:rsidRDefault="00570DDA" w:rsidP="00570DDA">
            <w:pPr>
              <w:pStyle w:val="ListParagraph"/>
              <w:ind w:left="0"/>
              <w:cnfStyle w:val="000000000000" w:firstRow="0" w:lastRow="0" w:firstColumn="0" w:lastColumn="0" w:oddVBand="0" w:evenVBand="0" w:oddHBand="0" w:evenHBand="0" w:firstRowFirstColumn="0" w:firstRowLastColumn="0" w:lastRowFirstColumn="0" w:lastRowLastColumn="0"/>
            </w:pPr>
            <w:r>
              <w:t>Specifies the file path where the PI message log is written.</w:t>
            </w:r>
          </w:p>
        </w:tc>
      </w:tr>
      <w:tr w:rsidR="008F3946" w:rsidRPr="00796397" w14:paraId="71ADFC8D"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11088764" w14:textId="77777777" w:rsidR="008F3946" w:rsidRPr="008555BB" w:rsidRDefault="008F3946" w:rsidP="008F3946">
            <w:pPr>
              <w:pStyle w:val="ListParagraph"/>
              <w:ind w:left="0"/>
              <w:jc w:val="center"/>
              <w:rPr>
                <w:sz w:val="20"/>
                <w:szCs w:val="20"/>
              </w:rPr>
            </w:pPr>
            <w:r>
              <w:rPr>
                <w:sz w:val="20"/>
                <w:szCs w:val="20"/>
              </w:rPr>
              <w:t>12</w:t>
            </w:r>
          </w:p>
        </w:tc>
        <w:tc>
          <w:tcPr>
            <w:tcW w:w="2812" w:type="dxa"/>
            <w:vAlign w:val="center"/>
          </w:tcPr>
          <w:p w14:paraId="0F3EB8EF" w14:textId="77777777" w:rsidR="008F3946" w:rsidRPr="003D72B4"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3D72B4">
              <w:rPr>
                <w:color w:val="FFC000" w:themeColor="accent4"/>
              </w:rPr>
              <w:t>ccilfx.pi.hub.host</w:t>
            </w:r>
            <w:proofErr w:type="spellEnd"/>
          </w:p>
        </w:tc>
        <w:tc>
          <w:tcPr>
            <w:tcW w:w="2272" w:type="dxa"/>
            <w:vAlign w:val="center"/>
          </w:tcPr>
          <w:p w14:paraId="744965BD" w14:textId="77777777" w:rsidR="008F3946" w:rsidRPr="00551D62"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172.19.103.98</w:t>
            </w:r>
          </w:p>
        </w:tc>
        <w:tc>
          <w:tcPr>
            <w:tcW w:w="2790" w:type="dxa"/>
            <w:vAlign w:val="center"/>
          </w:tcPr>
          <w:p w14:paraId="3ED0F75A"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Specifies the HUB’s IP address.</w:t>
            </w:r>
          </w:p>
        </w:tc>
      </w:tr>
      <w:tr w:rsidR="008F3946" w:rsidRPr="00796397" w14:paraId="7B403F6F"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3ABEAAA7" w14:textId="77777777" w:rsidR="008F3946" w:rsidRPr="008555BB" w:rsidRDefault="008F3946" w:rsidP="008F3946">
            <w:pPr>
              <w:pStyle w:val="ListParagraph"/>
              <w:ind w:left="0"/>
              <w:jc w:val="center"/>
              <w:rPr>
                <w:sz w:val="20"/>
                <w:szCs w:val="20"/>
              </w:rPr>
            </w:pPr>
            <w:r>
              <w:rPr>
                <w:sz w:val="20"/>
                <w:szCs w:val="20"/>
              </w:rPr>
              <w:t>13</w:t>
            </w:r>
          </w:p>
        </w:tc>
        <w:tc>
          <w:tcPr>
            <w:tcW w:w="2812" w:type="dxa"/>
            <w:vAlign w:val="center"/>
          </w:tcPr>
          <w:p w14:paraId="3FA5A534" w14:textId="77777777" w:rsidR="008F3946" w:rsidRPr="0067228A"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proofErr w:type="spellStart"/>
            <w:r w:rsidRPr="003D72B4">
              <w:rPr>
                <w:color w:val="FFC000" w:themeColor="accent4"/>
              </w:rPr>
              <w:t>ccilfx.pi.hub.port</w:t>
            </w:r>
            <w:proofErr w:type="spellEnd"/>
          </w:p>
        </w:tc>
        <w:tc>
          <w:tcPr>
            <w:tcW w:w="2272" w:type="dxa"/>
            <w:vAlign w:val="center"/>
          </w:tcPr>
          <w:p w14:paraId="50BFA23E"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8026</w:t>
            </w:r>
          </w:p>
        </w:tc>
        <w:tc>
          <w:tcPr>
            <w:tcW w:w="2790" w:type="dxa"/>
            <w:vAlign w:val="center"/>
          </w:tcPr>
          <w:p w14:paraId="62C00302"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Indicates the HUB listening port</w:t>
            </w:r>
          </w:p>
        </w:tc>
      </w:tr>
      <w:tr w:rsidR="008F3946" w:rsidRPr="00796397" w14:paraId="5228B2FF"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6ACE921D" w14:textId="77777777" w:rsidR="008F3946" w:rsidRPr="008555BB" w:rsidRDefault="008F3946" w:rsidP="008F3946">
            <w:pPr>
              <w:pStyle w:val="ListParagraph"/>
              <w:ind w:left="0"/>
              <w:jc w:val="center"/>
              <w:rPr>
                <w:sz w:val="20"/>
                <w:szCs w:val="20"/>
              </w:rPr>
            </w:pPr>
            <w:r>
              <w:rPr>
                <w:sz w:val="20"/>
                <w:szCs w:val="20"/>
              </w:rPr>
              <w:t>14</w:t>
            </w:r>
          </w:p>
        </w:tc>
        <w:tc>
          <w:tcPr>
            <w:tcW w:w="2812" w:type="dxa"/>
            <w:vAlign w:val="center"/>
          </w:tcPr>
          <w:p w14:paraId="11C84811" w14:textId="77777777" w:rsidR="008F3946" w:rsidRPr="003D72B4"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3D72B4">
              <w:rPr>
                <w:color w:val="FFC000" w:themeColor="accent4"/>
              </w:rPr>
              <w:t>ccilfx.pi.hub.rest.protocol</w:t>
            </w:r>
            <w:proofErr w:type="spellEnd"/>
          </w:p>
        </w:tc>
        <w:tc>
          <w:tcPr>
            <w:tcW w:w="2272" w:type="dxa"/>
            <w:vAlign w:val="center"/>
          </w:tcPr>
          <w:p w14:paraId="4B816C72"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http</w:t>
            </w:r>
          </w:p>
        </w:tc>
        <w:tc>
          <w:tcPr>
            <w:tcW w:w="2790" w:type="dxa"/>
            <w:vAlign w:val="center"/>
          </w:tcPr>
          <w:p w14:paraId="3F2A3B10"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Required to be filled</w:t>
            </w:r>
            <w:r w:rsidRPr="008555BB">
              <w:t xml:space="preserve"> when the chosen PI protocol is </w:t>
            </w:r>
            <w:r w:rsidRPr="008555BB">
              <w:lastRenderedPageBreak/>
              <w:t>HTTP. The possible values can be either HTTP or HTTPS</w:t>
            </w:r>
          </w:p>
        </w:tc>
      </w:tr>
      <w:tr w:rsidR="008F3946" w:rsidRPr="00796397" w14:paraId="64BD099B"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7E67C6D6" w14:textId="77777777" w:rsidR="008F3946" w:rsidRPr="008555BB" w:rsidRDefault="008F3946" w:rsidP="008F3946">
            <w:pPr>
              <w:pStyle w:val="ListParagraph"/>
              <w:ind w:left="0"/>
              <w:jc w:val="center"/>
              <w:rPr>
                <w:sz w:val="20"/>
                <w:szCs w:val="20"/>
              </w:rPr>
            </w:pPr>
            <w:r>
              <w:rPr>
                <w:sz w:val="20"/>
                <w:szCs w:val="20"/>
              </w:rPr>
              <w:lastRenderedPageBreak/>
              <w:t>15</w:t>
            </w:r>
          </w:p>
        </w:tc>
        <w:tc>
          <w:tcPr>
            <w:tcW w:w="2812" w:type="dxa"/>
            <w:vAlign w:val="center"/>
          </w:tcPr>
          <w:p w14:paraId="6E43F6A7" w14:textId="77777777" w:rsidR="008F3946" w:rsidRPr="003D72B4"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3D72B4">
              <w:rPr>
                <w:color w:val="FFC000" w:themeColor="accent4"/>
              </w:rPr>
              <w:t>ccilfx.pi.encryptionRequired</w:t>
            </w:r>
            <w:proofErr w:type="spellEnd"/>
          </w:p>
        </w:tc>
        <w:tc>
          <w:tcPr>
            <w:tcW w:w="2272" w:type="dxa"/>
            <w:vAlign w:val="center"/>
          </w:tcPr>
          <w:p w14:paraId="405A48B3"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FALSE</w:t>
            </w:r>
          </w:p>
        </w:tc>
        <w:tc>
          <w:tcPr>
            <w:tcW w:w="2790" w:type="dxa"/>
            <w:vAlign w:val="center"/>
          </w:tcPr>
          <w:p w14:paraId="62A3C162"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t xml:space="preserve">This is to enable/disable the encryption/digital signature authentication process for the message transmission between PI and HUB. The values should be either </w:t>
            </w:r>
          </w:p>
          <w:p w14:paraId="3F3EBBF2" w14:textId="77777777" w:rsidR="008F3946" w:rsidRDefault="008F3946" w:rsidP="008F3946">
            <w:pPr>
              <w:pStyle w:val="ListParagraph"/>
              <w:ind w:left="0"/>
              <w:cnfStyle w:val="000000000000" w:firstRow="0" w:lastRow="0" w:firstColumn="0" w:lastColumn="0" w:oddVBand="0" w:evenVBand="0" w:oddHBand="0" w:evenHBand="0" w:firstRowFirstColumn="0" w:firstRowLastColumn="0" w:lastRowFirstColumn="0" w:lastRowLastColumn="0"/>
            </w:pPr>
            <w:r w:rsidRPr="0065727A">
              <w:rPr>
                <w:b/>
              </w:rPr>
              <w:t>TRUE</w:t>
            </w:r>
            <w:r>
              <w:t xml:space="preserve">  or </w:t>
            </w:r>
            <w:r w:rsidRPr="0065727A">
              <w:rPr>
                <w:b/>
              </w:rPr>
              <w:t>FALSE</w:t>
            </w:r>
            <w:r>
              <w:rPr>
                <w:b/>
              </w:rPr>
              <w:t xml:space="preserve"> </w:t>
            </w:r>
          </w:p>
        </w:tc>
      </w:tr>
    </w:tbl>
    <w:p w14:paraId="43265F38" w14:textId="77777777" w:rsidR="00570DDA" w:rsidRDefault="00570DDA" w:rsidP="00570DDA">
      <w:pPr>
        <w:ind w:left="360"/>
        <w:jc w:val="both"/>
        <w:rPr>
          <w:b/>
        </w:rPr>
      </w:pPr>
    </w:p>
    <w:p w14:paraId="321FAE01" w14:textId="77777777" w:rsidR="00570DDA" w:rsidRPr="00D3713A" w:rsidRDefault="00570DDA" w:rsidP="00570DDA">
      <w:pPr>
        <w:ind w:left="360"/>
        <w:jc w:val="both"/>
        <w:rPr>
          <w:b/>
        </w:rPr>
      </w:pPr>
      <w:r>
        <w:rPr>
          <w:b/>
        </w:rPr>
        <w:t>Table 3</w:t>
      </w:r>
    </w:p>
    <w:p w14:paraId="04631ADC" w14:textId="77777777" w:rsidR="00570DDA" w:rsidRDefault="00570DDA" w:rsidP="00570DDA">
      <w:pPr>
        <w:ind w:left="360"/>
        <w:jc w:val="both"/>
      </w:pPr>
      <w:r>
        <w:t xml:space="preserve">The following configurations are required </w:t>
      </w:r>
      <w:r w:rsidRPr="00DD2DD0">
        <w:rPr>
          <w:b/>
          <w:u w:val="single"/>
        </w:rPr>
        <w:t>only when</w:t>
      </w:r>
      <w:r>
        <w:t xml:space="preserve"> the value of </w:t>
      </w:r>
      <w:proofErr w:type="spellStart"/>
      <w:r w:rsidRPr="008E4FBA">
        <w:rPr>
          <w:b/>
        </w:rPr>
        <w:t>ccilfx.pi.</w:t>
      </w:r>
      <w:r w:rsidRPr="00DD2DD0">
        <w:rPr>
          <w:b/>
        </w:rPr>
        <w:t>encryptionRequired</w:t>
      </w:r>
      <w:proofErr w:type="spellEnd"/>
      <w:r>
        <w:rPr>
          <w:b/>
        </w:rPr>
        <w:t xml:space="preserve"> </w:t>
      </w:r>
      <w:r>
        <w:t>is set to TRUE.</w:t>
      </w:r>
    </w:p>
    <w:tbl>
      <w:tblPr>
        <w:tblStyle w:val="GridTable1Light1"/>
        <w:tblW w:w="0" w:type="auto"/>
        <w:tblInd w:w="445" w:type="dxa"/>
        <w:tblLayout w:type="fixed"/>
        <w:tblLook w:val="04A0" w:firstRow="1" w:lastRow="0" w:firstColumn="1" w:lastColumn="0" w:noHBand="0" w:noVBand="1"/>
      </w:tblPr>
      <w:tblGrid>
        <w:gridCol w:w="671"/>
        <w:gridCol w:w="2812"/>
        <w:gridCol w:w="2272"/>
        <w:gridCol w:w="2790"/>
      </w:tblGrid>
      <w:tr w:rsidR="00570DDA" w:rsidRPr="006215AE" w14:paraId="1A8DEE4C" w14:textId="77777777" w:rsidTr="00570D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71" w:type="dxa"/>
          </w:tcPr>
          <w:p w14:paraId="690A09C4" w14:textId="77777777" w:rsidR="00570DDA" w:rsidRPr="006215AE" w:rsidRDefault="00570DDA" w:rsidP="008E4FBA">
            <w:pPr>
              <w:pStyle w:val="ListParagraph"/>
              <w:ind w:left="0"/>
              <w:jc w:val="both"/>
            </w:pPr>
            <w:proofErr w:type="spellStart"/>
            <w:r w:rsidRPr="006215AE">
              <w:t>S.No</w:t>
            </w:r>
            <w:proofErr w:type="spellEnd"/>
          </w:p>
        </w:tc>
        <w:tc>
          <w:tcPr>
            <w:tcW w:w="2812" w:type="dxa"/>
          </w:tcPr>
          <w:p w14:paraId="4125859C" w14:textId="77777777" w:rsidR="00570DDA" w:rsidRPr="006215AE" w:rsidRDefault="00570DDA"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Variable Name</w:t>
            </w:r>
          </w:p>
        </w:tc>
        <w:tc>
          <w:tcPr>
            <w:tcW w:w="2272" w:type="dxa"/>
          </w:tcPr>
          <w:p w14:paraId="5783909B" w14:textId="77777777" w:rsidR="00570DDA" w:rsidRPr="006215AE" w:rsidRDefault="00570DDA"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Sample Value</w:t>
            </w:r>
          </w:p>
        </w:tc>
        <w:tc>
          <w:tcPr>
            <w:tcW w:w="2790" w:type="dxa"/>
          </w:tcPr>
          <w:p w14:paraId="6D4F6977" w14:textId="77777777" w:rsidR="00570DDA" w:rsidRPr="006215AE" w:rsidRDefault="00570DDA" w:rsidP="008E4FBA">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Description</w:t>
            </w:r>
          </w:p>
        </w:tc>
      </w:tr>
      <w:tr w:rsidR="00570DDA" w:rsidRPr="00551D62" w14:paraId="5312D24B"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51FB9B05" w14:textId="77777777" w:rsidR="00570DDA" w:rsidRPr="008555BB" w:rsidRDefault="00570DDA" w:rsidP="00DD2DD0">
            <w:pPr>
              <w:pStyle w:val="ListParagraph"/>
              <w:ind w:left="0"/>
              <w:jc w:val="center"/>
              <w:rPr>
                <w:sz w:val="20"/>
                <w:szCs w:val="20"/>
              </w:rPr>
            </w:pPr>
            <w:r>
              <w:rPr>
                <w:sz w:val="20"/>
                <w:szCs w:val="20"/>
              </w:rPr>
              <w:t>16</w:t>
            </w:r>
          </w:p>
        </w:tc>
        <w:tc>
          <w:tcPr>
            <w:tcW w:w="2812" w:type="dxa"/>
            <w:vAlign w:val="center"/>
          </w:tcPr>
          <w:p w14:paraId="3C76FE9C" w14:textId="77777777" w:rsidR="00570DDA" w:rsidRPr="003D72B4"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rPr>
                <w:color w:val="70AD47" w:themeColor="accent6"/>
              </w:rPr>
            </w:pPr>
            <w:proofErr w:type="spellStart"/>
            <w:r w:rsidRPr="003D72B4">
              <w:rPr>
                <w:color w:val="70AD47" w:themeColor="accent6"/>
              </w:rPr>
              <w:t>ccilfx.pi.PFXDirectory</w:t>
            </w:r>
            <w:proofErr w:type="spellEnd"/>
          </w:p>
        </w:tc>
        <w:tc>
          <w:tcPr>
            <w:tcW w:w="2272" w:type="dxa"/>
            <w:vAlign w:val="center"/>
          </w:tcPr>
          <w:p w14:paraId="3C1280D0" w14:textId="77777777" w:rsidR="00570DDA"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rsidRPr="00320B92">
              <w:rPr>
                <w:szCs w:val="20"/>
              </w:rPr>
              <w:t>C:\FXRetailApplication\</w:t>
            </w:r>
            <w:r>
              <w:rPr>
                <w:szCs w:val="20"/>
              </w:rPr>
              <w:t>PI\</w:t>
            </w:r>
            <w:r w:rsidRPr="00320B92">
              <w:rPr>
                <w:szCs w:val="20"/>
              </w:rPr>
              <w:t>PKI\</w:t>
            </w:r>
          </w:p>
        </w:tc>
        <w:tc>
          <w:tcPr>
            <w:tcW w:w="2790" w:type="dxa"/>
            <w:vAlign w:val="center"/>
          </w:tcPr>
          <w:p w14:paraId="2CE472BF" w14:textId="77777777" w:rsidR="00570DDA" w:rsidRPr="00551D62"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t>Specifies the file path of the PI client priv</w:t>
            </w:r>
            <w:r w:rsidR="00F555D1">
              <w:t>ate key to be used for PI to HUB</w:t>
            </w:r>
            <w:r>
              <w:t xml:space="preserve"> authentication/encryption.</w:t>
            </w:r>
          </w:p>
        </w:tc>
      </w:tr>
      <w:tr w:rsidR="00570DDA" w14:paraId="65DBD8D8"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141A56F9" w14:textId="77777777" w:rsidR="00570DDA" w:rsidRPr="008555BB" w:rsidRDefault="00570DDA" w:rsidP="00DD2DD0">
            <w:pPr>
              <w:pStyle w:val="ListParagraph"/>
              <w:ind w:left="0"/>
              <w:jc w:val="center"/>
              <w:rPr>
                <w:sz w:val="20"/>
                <w:szCs w:val="20"/>
              </w:rPr>
            </w:pPr>
            <w:r>
              <w:rPr>
                <w:sz w:val="20"/>
                <w:szCs w:val="20"/>
              </w:rPr>
              <w:t>17</w:t>
            </w:r>
          </w:p>
        </w:tc>
        <w:tc>
          <w:tcPr>
            <w:tcW w:w="2812" w:type="dxa"/>
            <w:vAlign w:val="center"/>
          </w:tcPr>
          <w:p w14:paraId="51874C1F" w14:textId="77777777" w:rsidR="00570DDA" w:rsidRPr="003D72B4"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3D72B4">
              <w:rPr>
                <w:color w:val="FFC000" w:themeColor="accent4"/>
              </w:rPr>
              <w:t>ccilfx.pi.PFXPassword</w:t>
            </w:r>
            <w:proofErr w:type="spellEnd"/>
          </w:p>
        </w:tc>
        <w:tc>
          <w:tcPr>
            <w:tcW w:w="2272" w:type="dxa"/>
            <w:vAlign w:val="center"/>
          </w:tcPr>
          <w:p w14:paraId="4E802DE8" w14:textId="77777777" w:rsidR="00570DDA" w:rsidRPr="00551D62"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rsidRPr="009C70B7">
              <w:t>4Y53ecyplCtomYN0V/+f9w==</w:t>
            </w:r>
          </w:p>
        </w:tc>
        <w:tc>
          <w:tcPr>
            <w:tcW w:w="2790" w:type="dxa"/>
            <w:vAlign w:val="center"/>
          </w:tcPr>
          <w:p w14:paraId="266E05A9" w14:textId="77777777" w:rsidR="00570DDA"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t>Specifies the encrypted password of the PI private key file.</w:t>
            </w:r>
          </w:p>
        </w:tc>
      </w:tr>
      <w:tr w:rsidR="00570DDA" w14:paraId="222DF83D" w14:textId="77777777" w:rsidTr="00DD2DD0">
        <w:tc>
          <w:tcPr>
            <w:cnfStyle w:val="001000000000" w:firstRow="0" w:lastRow="0" w:firstColumn="1" w:lastColumn="0" w:oddVBand="0" w:evenVBand="0" w:oddHBand="0" w:evenHBand="0" w:firstRowFirstColumn="0" w:firstRowLastColumn="0" w:lastRowFirstColumn="0" w:lastRowLastColumn="0"/>
            <w:tcW w:w="671" w:type="dxa"/>
            <w:vAlign w:val="center"/>
          </w:tcPr>
          <w:p w14:paraId="3E1AB601" w14:textId="77777777" w:rsidR="00570DDA" w:rsidRPr="008555BB" w:rsidRDefault="00570DDA" w:rsidP="00DD2DD0">
            <w:pPr>
              <w:pStyle w:val="ListParagraph"/>
              <w:ind w:left="0"/>
              <w:jc w:val="center"/>
              <w:rPr>
                <w:sz w:val="20"/>
                <w:szCs w:val="20"/>
              </w:rPr>
            </w:pPr>
            <w:r>
              <w:rPr>
                <w:sz w:val="20"/>
                <w:szCs w:val="20"/>
              </w:rPr>
              <w:t>18</w:t>
            </w:r>
          </w:p>
        </w:tc>
        <w:tc>
          <w:tcPr>
            <w:tcW w:w="2812" w:type="dxa"/>
            <w:vAlign w:val="center"/>
          </w:tcPr>
          <w:p w14:paraId="21C50E8B" w14:textId="77777777" w:rsidR="00570DDA" w:rsidRPr="003D72B4"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rPr>
                <w:color w:val="FFC000" w:themeColor="accent4"/>
              </w:rPr>
            </w:pPr>
            <w:proofErr w:type="spellStart"/>
            <w:r w:rsidRPr="003D72B4">
              <w:rPr>
                <w:color w:val="FFC000" w:themeColor="accent4"/>
              </w:rPr>
              <w:t>ccilfx.pi.CERDirectory</w:t>
            </w:r>
            <w:proofErr w:type="spellEnd"/>
          </w:p>
        </w:tc>
        <w:tc>
          <w:tcPr>
            <w:tcW w:w="2272" w:type="dxa"/>
            <w:vAlign w:val="center"/>
          </w:tcPr>
          <w:p w14:paraId="1FCBBD98" w14:textId="77777777" w:rsidR="00570DDA" w:rsidRPr="00551D62"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rsidRPr="00320B92">
              <w:rPr>
                <w:szCs w:val="20"/>
              </w:rPr>
              <w:t>C:\FXRetailApplication\</w:t>
            </w:r>
            <w:r>
              <w:rPr>
                <w:szCs w:val="20"/>
              </w:rPr>
              <w:t>PI\</w:t>
            </w:r>
            <w:r w:rsidRPr="00320B92">
              <w:rPr>
                <w:szCs w:val="20"/>
              </w:rPr>
              <w:t>PKI\</w:t>
            </w:r>
          </w:p>
        </w:tc>
        <w:tc>
          <w:tcPr>
            <w:tcW w:w="2790" w:type="dxa"/>
            <w:vAlign w:val="center"/>
          </w:tcPr>
          <w:p w14:paraId="6635348D" w14:textId="77777777" w:rsidR="00570DDA" w:rsidRDefault="00570DDA" w:rsidP="008E4FBA">
            <w:pPr>
              <w:pStyle w:val="ListParagraph"/>
              <w:ind w:left="0"/>
              <w:cnfStyle w:val="000000000000" w:firstRow="0" w:lastRow="0" w:firstColumn="0" w:lastColumn="0" w:oddVBand="0" w:evenVBand="0" w:oddHBand="0" w:evenHBand="0" w:firstRowFirstColumn="0" w:firstRowLastColumn="0" w:lastRowFirstColumn="0" w:lastRowLastColumn="0"/>
            </w:pPr>
            <w:r>
              <w:t xml:space="preserve">Specifies the file </w:t>
            </w:r>
            <w:r w:rsidR="00F555D1">
              <w:t>path of the HUB</w:t>
            </w:r>
            <w:r>
              <w:t xml:space="preserve"> public key file.</w:t>
            </w:r>
          </w:p>
        </w:tc>
      </w:tr>
    </w:tbl>
    <w:p w14:paraId="58990F08" w14:textId="77777777" w:rsidR="0078428E" w:rsidRDefault="0078428E" w:rsidP="005F65CD">
      <w:pPr>
        <w:pStyle w:val="ListParagraph"/>
        <w:jc w:val="both"/>
      </w:pPr>
    </w:p>
    <w:p w14:paraId="02E27BB4" w14:textId="77777777" w:rsidR="00570DDA" w:rsidRPr="00D3713A" w:rsidRDefault="00570DDA" w:rsidP="00570DDA">
      <w:pPr>
        <w:ind w:left="360"/>
        <w:jc w:val="both"/>
        <w:rPr>
          <w:b/>
        </w:rPr>
      </w:pPr>
      <w:r>
        <w:rPr>
          <w:b/>
        </w:rPr>
        <w:t>Table 4</w:t>
      </w:r>
    </w:p>
    <w:p w14:paraId="45B05B0B" w14:textId="77777777" w:rsidR="005F65CD" w:rsidRDefault="005A23FB" w:rsidP="00DD2DD0">
      <w:pPr>
        <w:ind w:left="405"/>
        <w:jc w:val="both"/>
      </w:pPr>
      <w:r>
        <w:t xml:space="preserve">Environment variables pertaining to proxy settings at the member’s end should be configured on the </w:t>
      </w:r>
      <w:r w:rsidR="005F65CD">
        <w:t>PI Client server</w:t>
      </w:r>
      <w:r>
        <w:t xml:space="preserve"> as given below</w:t>
      </w:r>
      <w:r w:rsidR="005F65CD">
        <w:t>.</w:t>
      </w:r>
    </w:p>
    <w:tbl>
      <w:tblPr>
        <w:tblStyle w:val="GridTable1Light1"/>
        <w:tblW w:w="0" w:type="auto"/>
        <w:tblInd w:w="445" w:type="dxa"/>
        <w:tblLayout w:type="fixed"/>
        <w:tblLook w:val="04A0" w:firstRow="1" w:lastRow="0" w:firstColumn="1" w:lastColumn="0" w:noHBand="0" w:noVBand="1"/>
      </w:tblPr>
      <w:tblGrid>
        <w:gridCol w:w="514"/>
        <w:gridCol w:w="2693"/>
        <w:gridCol w:w="2552"/>
        <w:gridCol w:w="2786"/>
      </w:tblGrid>
      <w:tr w:rsidR="005A23FB" w:rsidRPr="006215AE" w14:paraId="0C1B57E3" w14:textId="77777777" w:rsidTr="008555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4" w:type="dxa"/>
          </w:tcPr>
          <w:p w14:paraId="19A186BF" w14:textId="77777777" w:rsidR="005A23FB" w:rsidRPr="006215AE" w:rsidRDefault="005A23FB" w:rsidP="00C650E3">
            <w:pPr>
              <w:pStyle w:val="ListParagraph"/>
              <w:ind w:left="0"/>
              <w:jc w:val="both"/>
            </w:pPr>
            <w:proofErr w:type="spellStart"/>
            <w:r w:rsidRPr="006215AE">
              <w:t>S.No</w:t>
            </w:r>
            <w:proofErr w:type="spellEnd"/>
          </w:p>
        </w:tc>
        <w:tc>
          <w:tcPr>
            <w:tcW w:w="2693" w:type="dxa"/>
          </w:tcPr>
          <w:p w14:paraId="64BB1E62" w14:textId="77777777" w:rsidR="005A23FB" w:rsidRPr="006215AE" w:rsidRDefault="005A23FB" w:rsidP="00C650E3">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Variable Name</w:t>
            </w:r>
          </w:p>
        </w:tc>
        <w:tc>
          <w:tcPr>
            <w:tcW w:w="2552" w:type="dxa"/>
          </w:tcPr>
          <w:p w14:paraId="79897D00" w14:textId="77777777" w:rsidR="005A23FB" w:rsidRPr="006215AE" w:rsidRDefault="005A23FB" w:rsidP="00C650E3">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Sample Value</w:t>
            </w:r>
          </w:p>
        </w:tc>
        <w:tc>
          <w:tcPr>
            <w:tcW w:w="2786" w:type="dxa"/>
          </w:tcPr>
          <w:p w14:paraId="2A8D5C51" w14:textId="77777777" w:rsidR="005A23FB" w:rsidRPr="006215AE" w:rsidRDefault="005A23FB" w:rsidP="00C650E3">
            <w:pPr>
              <w:pStyle w:val="ListParagraph"/>
              <w:ind w:left="0"/>
              <w:jc w:val="both"/>
              <w:cnfStyle w:val="100000000000" w:firstRow="1" w:lastRow="0" w:firstColumn="0" w:lastColumn="0" w:oddVBand="0" w:evenVBand="0" w:oddHBand="0" w:evenHBand="0" w:firstRowFirstColumn="0" w:firstRowLastColumn="0" w:lastRowFirstColumn="0" w:lastRowLastColumn="0"/>
            </w:pPr>
            <w:r w:rsidRPr="006215AE">
              <w:t>Description</w:t>
            </w:r>
          </w:p>
        </w:tc>
      </w:tr>
      <w:tr w:rsidR="005A23FB" w:rsidRPr="006215AE" w14:paraId="6111456B"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10074562" w14:textId="77777777" w:rsidR="005A23FB" w:rsidRPr="006215AE" w:rsidRDefault="005A23FB" w:rsidP="00C650E3">
            <w:pPr>
              <w:pStyle w:val="ListParagraph"/>
              <w:ind w:left="0"/>
              <w:jc w:val="both"/>
            </w:pPr>
            <w:r>
              <w:t>1</w:t>
            </w:r>
          </w:p>
        </w:tc>
        <w:tc>
          <w:tcPr>
            <w:tcW w:w="2693" w:type="dxa"/>
          </w:tcPr>
          <w:p w14:paraId="01FD70A2" w14:textId="77777777" w:rsidR="005A23FB" w:rsidRPr="006215AE"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7D24E3">
              <w:t>ccilfx.apisocket.proxyType</w:t>
            </w:r>
            <w:proofErr w:type="spellEnd"/>
          </w:p>
        </w:tc>
        <w:tc>
          <w:tcPr>
            <w:tcW w:w="2552" w:type="dxa"/>
          </w:tcPr>
          <w:p w14:paraId="72D6BAE2" w14:textId="77777777" w:rsidR="005A23FB" w:rsidRPr="007D24E3" w:rsidRDefault="005A23FB" w:rsidP="00C650E3">
            <w:pPr>
              <w:contextualSpacing/>
              <w:cnfStyle w:val="000000000000" w:firstRow="0" w:lastRow="0" w:firstColumn="0" w:lastColumn="0" w:oddVBand="0" w:evenVBand="0" w:oddHBand="0" w:evenHBand="0" w:firstRowFirstColumn="0" w:firstRowLastColumn="0" w:lastRowFirstColumn="0" w:lastRowLastColumn="0"/>
            </w:pPr>
            <w:r w:rsidRPr="007D24E3">
              <w:t xml:space="preserve"> </w:t>
            </w:r>
            <w:proofErr w:type="spellStart"/>
            <w:r w:rsidRPr="007D24E3">
              <w:t>NoProxy</w:t>
            </w:r>
            <w:proofErr w:type="spellEnd"/>
            <w:r w:rsidRPr="007D24E3">
              <w:t xml:space="preserve"> </w:t>
            </w:r>
          </w:p>
          <w:p w14:paraId="32CC6D9C" w14:textId="77777777" w:rsidR="005A23FB" w:rsidRPr="007D24E3" w:rsidRDefault="005A23FB" w:rsidP="00C650E3">
            <w:pPr>
              <w:contextualSpacing/>
              <w:cnfStyle w:val="000000000000" w:firstRow="0" w:lastRow="0" w:firstColumn="0" w:lastColumn="0" w:oddVBand="0" w:evenVBand="0" w:oddHBand="0" w:evenHBand="0" w:firstRowFirstColumn="0" w:firstRowLastColumn="0" w:lastRowFirstColumn="0" w:lastRowLastColumn="0"/>
            </w:pPr>
            <w:r w:rsidRPr="007D24E3">
              <w:t xml:space="preserve"> </w:t>
            </w:r>
            <w:proofErr w:type="spellStart"/>
            <w:r w:rsidRPr="007D24E3">
              <w:t>HostPortAlone</w:t>
            </w:r>
            <w:proofErr w:type="spellEnd"/>
            <w:r w:rsidRPr="007D24E3">
              <w:t xml:space="preserve"> </w:t>
            </w:r>
          </w:p>
          <w:p w14:paraId="6795CDAA" w14:textId="77777777" w:rsidR="005A23FB" w:rsidRDefault="005A23FB" w:rsidP="00C650E3">
            <w:pPr>
              <w:contextualSpacing/>
              <w:cnfStyle w:val="000000000000" w:firstRow="0" w:lastRow="0" w:firstColumn="0" w:lastColumn="0" w:oddVBand="0" w:evenVBand="0" w:oddHBand="0" w:evenHBand="0" w:firstRowFirstColumn="0" w:firstRowLastColumn="0" w:lastRowFirstColumn="0" w:lastRowLastColumn="0"/>
            </w:pPr>
            <w:r w:rsidRPr="007D24E3">
              <w:t xml:space="preserve"> </w:t>
            </w:r>
            <w:proofErr w:type="spellStart"/>
            <w:r w:rsidRPr="007D24E3">
              <w:t>HostPortWithCredentials</w:t>
            </w:r>
            <w:proofErr w:type="spellEnd"/>
          </w:p>
          <w:p w14:paraId="78FFE459" w14:textId="77777777" w:rsidR="00C650E3" w:rsidRPr="007D24E3" w:rsidRDefault="00C650E3" w:rsidP="00C650E3">
            <w:pPr>
              <w:contextualSpacing/>
              <w:cnfStyle w:val="000000000000" w:firstRow="0" w:lastRow="0" w:firstColumn="0" w:lastColumn="0" w:oddVBand="0" w:evenVBand="0" w:oddHBand="0" w:evenHBand="0" w:firstRowFirstColumn="0" w:firstRowLastColumn="0" w:lastRowFirstColumn="0" w:lastRowLastColumn="0"/>
            </w:pPr>
          </w:p>
        </w:tc>
        <w:tc>
          <w:tcPr>
            <w:tcW w:w="2786" w:type="dxa"/>
          </w:tcPr>
          <w:p w14:paraId="0BE81243" w14:textId="77777777" w:rsidR="005A23FB" w:rsidRPr="006215AE" w:rsidRDefault="005029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r>
              <w:t>Should be one of these values</w:t>
            </w:r>
          </w:p>
        </w:tc>
      </w:tr>
      <w:tr w:rsidR="005A23FB" w:rsidRPr="006215AE" w14:paraId="2DA4FA61"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6EA0F2BC" w14:textId="77777777" w:rsidR="005A23FB" w:rsidRDefault="005A23FB" w:rsidP="00C650E3">
            <w:pPr>
              <w:pStyle w:val="ListParagraph"/>
              <w:ind w:left="0"/>
              <w:jc w:val="both"/>
            </w:pPr>
            <w:r>
              <w:t>2</w:t>
            </w:r>
          </w:p>
        </w:tc>
        <w:tc>
          <w:tcPr>
            <w:tcW w:w="2693" w:type="dxa"/>
          </w:tcPr>
          <w:p w14:paraId="2F8D0079" w14:textId="77777777" w:rsidR="005A23FB" w:rsidRPr="007D24E3"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7D24E3">
              <w:t>ccilfx.apisocket.proxyHost</w:t>
            </w:r>
            <w:proofErr w:type="spellEnd"/>
          </w:p>
        </w:tc>
        <w:tc>
          <w:tcPr>
            <w:tcW w:w="2552" w:type="dxa"/>
          </w:tcPr>
          <w:p w14:paraId="4F57E445" w14:textId="77777777" w:rsidR="005A23FB" w:rsidRPr="007D24E3" w:rsidRDefault="005A23FB" w:rsidP="00C650E3">
            <w:pPr>
              <w:contextualSpacing/>
              <w:cnfStyle w:val="000000000000" w:firstRow="0" w:lastRow="0" w:firstColumn="0" w:lastColumn="0" w:oddVBand="0" w:evenVBand="0" w:oddHBand="0" w:evenHBand="0" w:firstRowFirstColumn="0" w:firstRowLastColumn="0" w:lastRowFirstColumn="0" w:lastRowLastColumn="0"/>
            </w:pPr>
            <w:r w:rsidRPr="007D24E3">
              <w:t>172.27.62.35</w:t>
            </w:r>
          </w:p>
        </w:tc>
        <w:tc>
          <w:tcPr>
            <w:tcW w:w="2786" w:type="dxa"/>
          </w:tcPr>
          <w:p w14:paraId="79DCFB63" w14:textId="77777777" w:rsidR="005A23FB"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r>
              <w:t>Indicate the proxy IP address</w:t>
            </w:r>
          </w:p>
        </w:tc>
      </w:tr>
      <w:tr w:rsidR="005A23FB" w:rsidRPr="006215AE" w14:paraId="0A4286A9"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2D2626FE" w14:textId="77777777" w:rsidR="005A23FB" w:rsidRDefault="005A23FB" w:rsidP="00C650E3">
            <w:pPr>
              <w:pStyle w:val="ListParagraph"/>
              <w:ind w:left="0"/>
              <w:jc w:val="both"/>
            </w:pPr>
            <w:r>
              <w:t>3</w:t>
            </w:r>
          </w:p>
        </w:tc>
        <w:tc>
          <w:tcPr>
            <w:tcW w:w="2693" w:type="dxa"/>
          </w:tcPr>
          <w:p w14:paraId="2BB2AA41" w14:textId="77777777" w:rsidR="005A23FB" w:rsidRPr="007D24E3"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7D24E3">
              <w:t>ccilfx.apisocket.proxyPort</w:t>
            </w:r>
            <w:proofErr w:type="spellEnd"/>
          </w:p>
        </w:tc>
        <w:tc>
          <w:tcPr>
            <w:tcW w:w="2552" w:type="dxa"/>
          </w:tcPr>
          <w:p w14:paraId="003A3A23" w14:textId="77777777" w:rsidR="005A23FB" w:rsidRPr="007D24E3" w:rsidRDefault="005A23FB" w:rsidP="00C650E3">
            <w:pPr>
              <w:contextualSpacing/>
              <w:cnfStyle w:val="000000000000" w:firstRow="0" w:lastRow="0" w:firstColumn="0" w:lastColumn="0" w:oddVBand="0" w:evenVBand="0" w:oddHBand="0" w:evenHBand="0" w:firstRowFirstColumn="0" w:firstRowLastColumn="0" w:lastRowFirstColumn="0" w:lastRowLastColumn="0"/>
            </w:pPr>
            <w:r w:rsidRPr="007D24E3">
              <w:t>8080</w:t>
            </w:r>
          </w:p>
        </w:tc>
        <w:tc>
          <w:tcPr>
            <w:tcW w:w="2786" w:type="dxa"/>
          </w:tcPr>
          <w:p w14:paraId="54D4FEDF" w14:textId="77777777" w:rsidR="005A23FB"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r>
              <w:t>Indicate the proxy number</w:t>
            </w:r>
          </w:p>
        </w:tc>
      </w:tr>
      <w:tr w:rsidR="005A23FB" w:rsidRPr="006215AE" w14:paraId="175D7CEA"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3534B47F" w14:textId="77777777" w:rsidR="005A23FB" w:rsidRDefault="00F31AF5" w:rsidP="00C650E3">
            <w:pPr>
              <w:pStyle w:val="ListParagraph"/>
              <w:ind w:left="0"/>
              <w:jc w:val="both"/>
            </w:pPr>
            <w:r>
              <w:t>4</w:t>
            </w:r>
          </w:p>
        </w:tc>
        <w:tc>
          <w:tcPr>
            <w:tcW w:w="2693" w:type="dxa"/>
          </w:tcPr>
          <w:p w14:paraId="41FD4155" w14:textId="77777777" w:rsidR="005A23FB" w:rsidRPr="007D24E3"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7D24E3">
              <w:t>ccilfx.apisocket.proxyUser</w:t>
            </w:r>
            <w:proofErr w:type="spellEnd"/>
          </w:p>
        </w:tc>
        <w:tc>
          <w:tcPr>
            <w:tcW w:w="2552" w:type="dxa"/>
          </w:tcPr>
          <w:p w14:paraId="2BC02183" w14:textId="77777777" w:rsidR="005A23FB" w:rsidRPr="007D24E3" w:rsidRDefault="009D1C73" w:rsidP="00C650E3">
            <w:pPr>
              <w:contextualSpacing/>
              <w:cnfStyle w:val="000000000000" w:firstRow="0" w:lastRow="0" w:firstColumn="0" w:lastColumn="0" w:oddVBand="0" w:evenVBand="0" w:oddHBand="0" w:evenHBand="0" w:firstRowFirstColumn="0" w:firstRowLastColumn="0" w:lastRowFirstColumn="0" w:lastRowLastColumn="0"/>
            </w:pPr>
            <w:r w:rsidRPr="007D24E3">
              <w:t>&lt;&lt; user id &gt;&gt;</w:t>
            </w:r>
          </w:p>
        </w:tc>
        <w:tc>
          <w:tcPr>
            <w:tcW w:w="2786" w:type="dxa"/>
          </w:tcPr>
          <w:p w14:paraId="04D26AF2" w14:textId="77777777" w:rsidR="005A23FB" w:rsidRDefault="005A23FB" w:rsidP="00A47B0B">
            <w:pPr>
              <w:pStyle w:val="ListParagraph"/>
              <w:ind w:left="0"/>
              <w:jc w:val="both"/>
              <w:cnfStyle w:val="000000000000" w:firstRow="0" w:lastRow="0" w:firstColumn="0" w:lastColumn="0" w:oddVBand="0" w:evenVBand="0" w:oddHBand="0" w:evenHBand="0" w:firstRowFirstColumn="0" w:firstRowLastColumn="0" w:lastRowFirstColumn="0" w:lastRowLastColumn="0"/>
            </w:pPr>
            <w:r>
              <w:t xml:space="preserve">This </w:t>
            </w:r>
            <w:r w:rsidR="005029FB">
              <w:t>variable</w:t>
            </w:r>
            <w:r>
              <w:t xml:space="preserve"> is to be </w:t>
            </w:r>
            <w:r w:rsidR="00073472">
              <w:t>created only</w:t>
            </w:r>
            <w:r>
              <w:t xml:space="preserve"> if the member’s proxy has a user-id</w:t>
            </w:r>
            <w:r w:rsidR="00C650E3">
              <w:t>. The user</w:t>
            </w:r>
            <w:r w:rsidR="00073472">
              <w:t>-</w:t>
            </w:r>
            <w:r w:rsidR="00C650E3">
              <w:t xml:space="preserve">id should be in encrypted form. For encryption of the </w:t>
            </w:r>
            <w:r w:rsidR="00A47B0B">
              <w:t>user</w:t>
            </w:r>
            <w:r w:rsidR="00073472">
              <w:t>-</w:t>
            </w:r>
            <w:r w:rsidR="00A47B0B">
              <w:t xml:space="preserve">id </w:t>
            </w:r>
            <w:r w:rsidR="00C650E3">
              <w:t xml:space="preserve">please follow the method discussed in point </w:t>
            </w:r>
            <w:r w:rsidR="00073472">
              <w:t>9</w:t>
            </w:r>
            <w:r w:rsidR="00C650E3">
              <w:t>.</w:t>
            </w:r>
          </w:p>
        </w:tc>
      </w:tr>
      <w:tr w:rsidR="005A23FB" w:rsidRPr="006215AE" w14:paraId="54CBEF0E"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788DDCEB" w14:textId="77777777" w:rsidR="005A23FB" w:rsidRDefault="00F31AF5" w:rsidP="00C650E3">
            <w:pPr>
              <w:pStyle w:val="ListParagraph"/>
              <w:ind w:left="0"/>
              <w:jc w:val="both"/>
            </w:pPr>
            <w:r>
              <w:lastRenderedPageBreak/>
              <w:t>5</w:t>
            </w:r>
          </w:p>
        </w:tc>
        <w:tc>
          <w:tcPr>
            <w:tcW w:w="2693" w:type="dxa"/>
          </w:tcPr>
          <w:p w14:paraId="7561213F" w14:textId="77777777" w:rsidR="005A23FB" w:rsidRPr="00F13DA4" w:rsidRDefault="005A23FB" w:rsidP="00C650E3">
            <w:pPr>
              <w:pStyle w:val="ListParagraph"/>
              <w:ind w:left="0"/>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002060"/>
              </w:rPr>
            </w:pPr>
            <w:proofErr w:type="spellStart"/>
            <w:r w:rsidRPr="007D24E3">
              <w:t>ccilfx.apisocket.proxyPassword</w:t>
            </w:r>
            <w:proofErr w:type="spellEnd"/>
          </w:p>
        </w:tc>
        <w:tc>
          <w:tcPr>
            <w:tcW w:w="2552" w:type="dxa"/>
          </w:tcPr>
          <w:p w14:paraId="2A457416" w14:textId="77777777" w:rsidR="005A23FB" w:rsidRPr="007D24E3" w:rsidRDefault="009D1C73" w:rsidP="00C650E3">
            <w:pPr>
              <w:contextualSpacing/>
              <w:cnfStyle w:val="000000000000" w:firstRow="0" w:lastRow="0" w:firstColumn="0" w:lastColumn="0" w:oddVBand="0" w:evenVBand="0" w:oddHBand="0" w:evenHBand="0" w:firstRowFirstColumn="0" w:firstRowLastColumn="0" w:lastRowFirstColumn="0" w:lastRowLastColumn="0"/>
            </w:pPr>
            <w:r w:rsidRPr="007D24E3">
              <w:t>&lt;&lt; password &gt;&gt;</w:t>
            </w:r>
          </w:p>
        </w:tc>
        <w:tc>
          <w:tcPr>
            <w:tcW w:w="2786" w:type="dxa"/>
          </w:tcPr>
          <w:p w14:paraId="45832FC2" w14:textId="77777777" w:rsidR="005A23FB" w:rsidRDefault="005A23FB">
            <w:pPr>
              <w:pStyle w:val="ListParagraph"/>
              <w:ind w:left="0"/>
              <w:jc w:val="both"/>
              <w:cnfStyle w:val="000000000000" w:firstRow="0" w:lastRow="0" w:firstColumn="0" w:lastColumn="0" w:oddVBand="0" w:evenVBand="0" w:oddHBand="0" w:evenHBand="0" w:firstRowFirstColumn="0" w:firstRowLastColumn="0" w:lastRowFirstColumn="0" w:lastRowLastColumn="0"/>
            </w:pPr>
            <w:r>
              <w:t xml:space="preserve">This </w:t>
            </w:r>
            <w:r w:rsidR="005029FB">
              <w:t xml:space="preserve">variable </w:t>
            </w:r>
            <w:r>
              <w:t xml:space="preserve">is to be </w:t>
            </w:r>
            <w:r w:rsidR="005029FB">
              <w:t xml:space="preserve">created </w:t>
            </w:r>
            <w:r>
              <w:t xml:space="preserve">only if the member’s proxy has a password. This password should be in encrypted form. </w:t>
            </w:r>
            <w:r w:rsidR="002F3D77">
              <w:t>F</w:t>
            </w:r>
            <w:r>
              <w:t xml:space="preserve">or encryption </w:t>
            </w:r>
            <w:r w:rsidR="002F3D77">
              <w:t xml:space="preserve">of the password please follow the method discussed in point </w:t>
            </w:r>
            <w:r w:rsidR="00073472">
              <w:t>9</w:t>
            </w:r>
            <w:r w:rsidR="002F3D77">
              <w:t>. The only change here is that the password to encrypt will be the proxy’s password.</w:t>
            </w:r>
          </w:p>
        </w:tc>
      </w:tr>
      <w:tr w:rsidR="00C650E3" w:rsidRPr="006215AE" w14:paraId="6916184B"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2E9ED42A" w14:textId="77777777" w:rsidR="00C650E3" w:rsidRDefault="00C650E3" w:rsidP="00C650E3">
            <w:pPr>
              <w:pStyle w:val="ListParagraph"/>
              <w:ind w:left="0"/>
              <w:jc w:val="both"/>
            </w:pPr>
            <w:r>
              <w:t>6</w:t>
            </w:r>
          </w:p>
        </w:tc>
        <w:tc>
          <w:tcPr>
            <w:tcW w:w="2693" w:type="dxa"/>
          </w:tcPr>
          <w:p w14:paraId="1E3E0E33" w14:textId="77777777" w:rsidR="00C650E3" w:rsidRPr="007D24E3" w:rsidRDefault="00C650E3"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roofErr w:type="spellStart"/>
            <w:r w:rsidRPr="00C650E3">
              <w:t>ccilfx.apisocket.proxyWorkstation</w:t>
            </w:r>
            <w:proofErr w:type="spellEnd"/>
          </w:p>
        </w:tc>
        <w:tc>
          <w:tcPr>
            <w:tcW w:w="2552" w:type="dxa"/>
          </w:tcPr>
          <w:p w14:paraId="4DB3842E" w14:textId="77777777" w:rsidR="00C650E3" w:rsidRPr="007D24E3" w:rsidRDefault="00C650E3" w:rsidP="00C650E3">
            <w:pPr>
              <w:contextualSpacing/>
              <w:cnfStyle w:val="000000000000" w:firstRow="0" w:lastRow="0" w:firstColumn="0" w:lastColumn="0" w:oddVBand="0" w:evenVBand="0" w:oddHBand="0" w:evenHBand="0" w:firstRowFirstColumn="0" w:firstRowLastColumn="0" w:lastRowFirstColumn="0" w:lastRowLastColumn="0"/>
            </w:pPr>
          </w:p>
        </w:tc>
        <w:tc>
          <w:tcPr>
            <w:tcW w:w="2786" w:type="dxa"/>
          </w:tcPr>
          <w:p w14:paraId="7AE2C7C0" w14:textId="77777777" w:rsidR="00C650E3" w:rsidRDefault="00C650E3" w:rsidP="00C650E3">
            <w:pPr>
              <w:contextualSpacing/>
              <w:cnfStyle w:val="000000000000" w:firstRow="0" w:lastRow="0" w:firstColumn="0" w:lastColumn="0" w:oddVBand="0" w:evenVBand="0" w:oddHBand="0" w:evenHBand="0" w:firstRowFirstColumn="0" w:firstRowLastColumn="0" w:lastRowFirstColumn="0" w:lastRowLastColumn="0"/>
            </w:pPr>
            <w:r w:rsidRPr="00C650E3">
              <w:t>Specify the proxy server workstation name</w:t>
            </w:r>
          </w:p>
        </w:tc>
      </w:tr>
      <w:tr w:rsidR="00C650E3" w:rsidRPr="006215AE" w14:paraId="0D0FD00B" w14:textId="77777777" w:rsidTr="008555BB">
        <w:tc>
          <w:tcPr>
            <w:cnfStyle w:val="001000000000" w:firstRow="0" w:lastRow="0" w:firstColumn="1" w:lastColumn="0" w:oddVBand="0" w:evenVBand="0" w:oddHBand="0" w:evenHBand="0" w:firstRowFirstColumn="0" w:firstRowLastColumn="0" w:lastRowFirstColumn="0" w:lastRowLastColumn="0"/>
            <w:tcW w:w="514" w:type="dxa"/>
          </w:tcPr>
          <w:p w14:paraId="0FAEE5B7" w14:textId="77777777" w:rsidR="00C650E3" w:rsidRDefault="00C650E3" w:rsidP="00C650E3">
            <w:pPr>
              <w:pStyle w:val="ListParagraph"/>
              <w:ind w:left="0"/>
              <w:jc w:val="both"/>
            </w:pPr>
            <w:r>
              <w:t>7</w:t>
            </w:r>
          </w:p>
        </w:tc>
        <w:tc>
          <w:tcPr>
            <w:tcW w:w="2693" w:type="dxa"/>
          </w:tcPr>
          <w:p w14:paraId="43AF699C" w14:textId="77777777" w:rsidR="00C650E3" w:rsidRPr="00C650E3" w:rsidRDefault="00C650E3" w:rsidP="00C650E3">
            <w:pPr>
              <w:contextualSpacing/>
              <w:jc w:val="both"/>
              <w:cnfStyle w:val="000000000000" w:firstRow="0" w:lastRow="0" w:firstColumn="0" w:lastColumn="0" w:oddVBand="0" w:evenVBand="0" w:oddHBand="0" w:evenHBand="0" w:firstRowFirstColumn="0" w:firstRowLastColumn="0" w:lastRowFirstColumn="0" w:lastRowLastColumn="0"/>
              <w:rPr>
                <w:rFonts w:ascii="Cambria" w:eastAsia="Times New Roman" w:hAnsi="Cambria" w:cs="Times New Roman"/>
                <w:color w:val="00B050"/>
              </w:rPr>
            </w:pPr>
            <w:proofErr w:type="spellStart"/>
            <w:r w:rsidRPr="00C650E3">
              <w:t>ccilfx.apisocket.proxyDomain</w:t>
            </w:r>
            <w:proofErr w:type="spellEnd"/>
          </w:p>
          <w:p w14:paraId="3B734E21" w14:textId="77777777" w:rsidR="00C650E3" w:rsidRPr="007D24E3" w:rsidRDefault="00C650E3" w:rsidP="00C650E3">
            <w:pPr>
              <w:pStyle w:val="ListParagraph"/>
              <w:ind w:left="0"/>
              <w:jc w:val="both"/>
              <w:cnfStyle w:val="000000000000" w:firstRow="0" w:lastRow="0" w:firstColumn="0" w:lastColumn="0" w:oddVBand="0" w:evenVBand="0" w:oddHBand="0" w:evenHBand="0" w:firstRowFirstColumn="0" w:firstRowLastColumn="0" w:lastRowFirstColumn="0" w:lastRowLastColumn="0"/>
            </w:pPr>
          </w:p>
        </w:tc>
        <w:tc>
          <w:tcPr>
            <w:tcW w:w="2552" w:type="dxa"/>
          </w:tcPr>
          <w:p w14:paraId="51891444" w14:textId="77777777" w:rsidR="00C650E3" w:rsidRPr="007D24E3" w:rsidRDefault="00C650E3" w:rsidP="00C650E3">
            <w:pPr>
              <w:contextualSpacing/>
              <w:cnfStyle w:val="000000000000" w:firstRow="0" w:lastRow="0" w:firstColumn="0" w:lastColumn="0" w:oddVBand="0" w:evenVBand="0" w:oddHBand="0" w:evenHBand="0" w:firstRowFirstColumn="0" w:firstRowLastColumn="0" w:lastRowFirstColumn="0" w:lastRowLastColumn="0"/>
            </w:pPr>
            <w:r>
              <w:t>&lt;&lt; Proxy Domain &gt;&gt;</w:t>
            </w:r>
          </w:p>
        </w:tc>
        <w:tc>
          <w:tcPr>
            <w:tcW w:w="2786" w:type="dxa"/>
          </w:tcPr>
          <w:p w14:paraId="12DB4B19" w14:textId="77777777" w:rsidR="00C650E3" w:rsidRPr="00C650E3" w:rsidRDefault="00C650E3" w:rsidP="00C650E3">
            <w:pPr>
              <w:contextualSpacing/>
              <w:cnfStyle w:val="000000000000" w:firstRow="0" w:lastRow="0" w:firstColumn="0" w:lastColumn="0" w:oddVBand="0" w:evenVBand="0" w:oddHBand="0" w:evenHBand="0" w:firstRowFirstColumn="0" w:firstRowLastColumn="0" w:lastRowFirstColumn="0" w:lastRowLastColumn="0"/>
            </w:pPr>
            <w:r w:rsidRPr="00C650E3">
              <w:t>Specify the proxy server domain name</w:t>
            </w:r>
          </w:p>
          <w:p w14:paraId="01DCC21F" w14:textId="77777777" w:rsidR="00C650E3" w:rsidRDefault="00C650E3" w:rsidP="005029FB">
            <w:pPr>
              <w:pStyle w:val="ListParagraph"/>
              <w:ind w:left="0"/>
              <w:jc w:val="both"/>
              <w:cnfStyle w:val="000000000000" w:firstRow="0" w:lastRow="0" w:firstColumn="0" w:lastColumn="0" w:oddVBand="0" w:evenVBand="0" w:oddHBand="0" w:evenHBand="0" w:firstRowFirstColumn="0" w:firstRowLastColumn="0" w:lastRowFirstColumn="0" w:lastRowLastColumn="0"/>
            </w:pPr>
          </w:p>
        </w:tc>
      </w:tr>
    </w:tbl>
    <w:p w14:paraId="32ACF2FE" w14:textId="77777777" w:rsidR="005A23FB" w:rsidRDefault="005A23FB" w:rsidP="005F65CD">
      <w:pPr>
        <w:pStyle w:val="ListParagraph"/>
        <w:jc w:val="both"/>
      </w:pPr>
    </w:p>
    <w:p w14:paraId="2FF2BF33" w14:textId="77777777" w:rsidR="000E3BC4" w:rsidRDefault="00524A35" w:rsidP="005362C8">
      <w:pPr>
        <w:pStyle w:val="ListParagraph"/>
        <w:numPr>
          <w:ilvl w:val="0"/>
          <w:numId w:val="8"/>
        </w:numPr>
        <w:jc w:val="both"/>
      </w:pPr>
      <w:r>
        <w:t xml:space="preserve">To download the </w:t>
      </w:r>
      <w:r w:rsidR="00A97B28">
        <w:t>PI server public key file</w:t>
      </w:r>
      <w:r w:rsidR="007F359B">
        <w:t xml:space="preserve"> of </w:t>
      </w:r>
      <w:proofErr w:type="spellStart"/>
      <w:r w:rsidR="007F359B">
        <w:t>Clearcorp</w:t>
      </w:r>
      <w:proofErr w:type="spellEnd"/>
      <w:r w:rsidR="007F359B">
        <w:t xml:space="preserve"> (.CER)</w:t>
      </w:r>
      <w:r w:rsidR="00A97B28">
        <w:t xml:space="preserve">, provision is available in the </w:t>
      </w:r>
      <w:r w:rsidR="001E7F02">
        <w:t xml:space="preserve">FX </w:t>
      </w:r>
      <w:r w:rsidR="00A97B28">
        <w:t>R</w:t>
      </w:r>
      <w:r w:rsidR="007F359B">
        <w:t xml:space="preserve">etail </w:t>
      </w:r>
      <w:r w:rsidR="001E7F02">
        <w:t>W</w:t>
      </w:r>
      <w:r w:rsidR="00A97B28">
        <w:t xml:space="preserve">eb </w:t>
      </w:r>
      <w:r w:rsidR="001E7F02">
        <w:t xml:space="preserve">Platform </w:t>
      </w:r>
      <w:r w:rsidR="00A97B28">
        <w:t>as shown below.</w:t>
      </w:r>
    </w:p>
    <w:p w14:paraId="0E9DD651" w14:textId="77777777" w:rsidR="00A656CF" w:rsidRDefault="00A656CF" w:rsidP="00A656CF">
      <w:pPr>
        <w:pStyle w:val="ListParagraph"/>
        <w:jc w:val="both"/>
      </w:pPr>
    </w:p>
    <w:p w14:paraId="5833A7E5" w14:textId="77777777" w:rsidR="00A97B28" w:rsidRDefault="00A97B28" w:rsidP="005362C8">
      <w:pPr>
        <w:pStyle w:val="ListParagraph"/>
        <w:ind w:left="1440"/>
        <w:jc w:val="both"/>
        <w:rPr>
          <w:i/>
          <w:sz w:val="20"/>
        </w:rPr>
      </w:pPr>
      <w:r w:rsidRPr="00A97B28">
        <w:rPr>
          <w:b/>
          <w:u w:val="single"/>
        </w:rPr>
        <w:t>Screen direction:</w:t>
      </w:r>
      <w:r>
        <w:t xml:space="preserve">  </w:t>
      </w:r>
      <w:r w:rsidRPr="00A97B28">
        <w:rPr>
          <w:i/>
          <w:sz w:val="20"/>
        </w:rPr>
        <w:t xml:space="preserve">Participants Interface menu </w:t>
      </w:r>
      <w:r w:rsidRPr="00A97B28">
        <w:rPr>
          <w:i/>
          <w:sz w:val="20"/>
        </w:rPr>
        <w:sym w:font="Wingdings" w:char="F0E0"/>
      </w:r>
      <w:r w:rsidRPr="00A97B28">
        <w:rPr>
          <w:i/>
          <w:sz w:val="20"/>
        </w:rPr>
        <w:t xml:space="preserve"> Upload/Download Certificates</w:t>
      </w:r>
    </w:p>
    <w:p w14:paraId="50BCE2CE" w14:textId="77777777" w:rsidR="00A97B28" w:rsidRDefault="00A97B28" w:rsidP="005362C8">
      <w:pPr>
        <w:jc w:val="both"/>
      </w:pPr>
      <w:r>
        <w:tab/>
      </w:r>
      <w:r w:rsidR="00326788">
        <w:rPr>
          <w:noProof/>
          <w:lang w:val="en-IN" w:eastAsia="en-IN"/>
        </w:rPr>
        <w:drawing>
          <wp:inline distT="0" distB="0" distL="0" distR="0" wp14:anchorId="052B3112" wp14:editId="65063230">
            <wp:extent cx="3213045" cy="245745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227023" cy="2468141"/>
                    </a:xfrm>
                    <a:prstGeom prst="rect">
                      <a:avLst/>
                    </a:prstGeom>
                  </pic:spPr>
                </pic:pic>
              </a:graphicData>
            </a:graphic>
          </wp:inline>
        </w:drawing>
      </w:r>
    </w:p>
    <w:p w14:paraId="7955DC7D" w14:textId="77777777" w:rsidR="00C05E6A" w:rsidRDefault="00C05E6A" w:rsidP="00090535">
      <w:pPr>
        <w:pStyle w:val="ListParagraph"/>
        <w:numPr>
          <w:ilvl w:val="0"/>
          <w:numId w:val="8"/>
        </w:numPr>
        <w:jc w:val="both"/>
      </w:pPr>
      <w:r>
        <w:t>Please use Google Chrome or Firefox browser to download / upload certificates</w:t>
      </w:r>
    </w:p>
    <w:p w14:paraId="6DF89793" w14:textId="77777777" w:rsidR="00A97B28" w:rsidRDefault="00326788" w:rsidP="00090535">
      <w:pPr>
        <w:pStyle w:val="ListParagraph"/>
        <w:numPr>
          <w:ilvl w:val="0"/>
          <w:numId w:val="8"/>
        </w:numPr>
        <w:jc w:val="both"/>
      </w:pPr>
      <w:r>
        <w:t>Kindly ensure that the downloaded</w:t>
      </w:r>
      <w:r w:rsidR="009A0595">
        <w:t xml:space="preserve"> </w:t>
      </w:r>
      <w:r>
        <w:t xml:space="preserve"> server certificate is copied to the appropriate file path as indicated in the environmental variable (</w:t>
      </w:r>
      <w:proofErr w:type="spellStart"/>
      <w:r w:rsidR="00D9649E">
        <w:t>c</w:t>
      </w:r>
      <w:r w:rsidRPr="00320B92">
        <w:t>cilfx.apisocket.CERDirectory</w:t>
      </w:r>
      <w:proofErr w:type="spellEnd"/>
      <w:r>
        <w:t>)</w:t>
      </w:r>
    </w:p>
    <w:p w14:paraId="74DBDF74" w14:textId="77777777" w:rsidR="00326788" w:rsidRDefault="00326788" w:rsidP="00090535">
      <w:pPr>
        <w:pStyle w:val="ListParagraph"/>
        <w:numPr>
          <w:ilvl w:val="0"/>
          <w:numId w:val="8"/>
        </w:numPr>
        <w:jc w:val="both"/>
      </w:pPr>
      <w:r>
        <w:t>Next, upload the API client public key file using the same screen as indicated above</w:t>
      </w:r>
    </w:p>
    <w:p w14:paraId="32186B7D" w14:textId="77777777" w:rsidR="00326788" w:rsidRDefault="00326788" w:rsidP="00090535">
      <w:pPr>
        <w:pStyle w:val="ListParagraph"/>
        <w:numPr>
          <w:ilvl w:val="0"/>
          <w:numId w:val="8"/>
        </w:numPr>
        <w:jc w:val="both"/>
      </w:pPr>
      <w:r>
        <w:t xml:space="preserve">To get the encrypted value of the </w:t>
      </w:r>
      <w:r w:rsidR="00733486">
        <w:t xml:space="preserve">password of </w:t>
      </w:r>
      <w:r>
        <w:t>PI client private key file, run the following command</w:t>
      </w:r>
      <w:r w:rsidR="00733486">
        <w:t>,</w:t>
      </w:r>
      <w:r>
        <w:t xml:space="preserve"> </w:t>
      </w:r>
    </w:p>
    <w:p w14:paraId="6DE0681C" w14:textId="77777777" w:rsidR="00733486" w:rsidRDefault="00733486" w:rsidP="005362C8">
      <w:pPr>
        <w:ind w:firstLine="720"/>
        <w:jc w:val="both"/>
        <w:rPr>
          <w:i/>
          <w:color w:val="C00000"/>
          <w:sz w:val="18"/>
        </w:rPr>
      </w:pPr>
      <w:r w:rsidRPr="00733486">
        <w:rPr>
          <w:i/>
          <w:color w:val="C00000"/>
          <w:sz w:val="18"/>
        </w:rPr>
        <w:t>C:\FXRetailApplication\Exe\ParticipantInterface&gt;</w:t>
      </w:r>
      <w:r w:rsidR="005C0CA8">
        <w:rPr>
          <w:i/>
          <w:color w:val="C00000"/>
          <w:sz w:val="18"/>
        </w:rPr>
        <w:t xml:space="preserve">java -jar </w:t>
      </w:r>
      <w:proofErr w:type="spellStart"/>
      <w:r w:rsidR="005C0CA8">
        <w:rPr>
          <w:i/>
          <w:color w:val="C00000"/>
          <w:sz w:val="18"/>
        </w:rPr>
        <w:t>ParticipantInterface.w</w:t>
      </w:r>
      <w:r w:rsidRPr="00733486">
        <w:rPr>
          <w:i/>
          <w:color w:val="C00000"/>
          <w:sz w:val="18"/>
        </w:rPr>
        <w:t>ar</w:t>
      </w:r>
      <w:proofErr w:type="spellEnd"/>
      <w:r w:rsidRPr="00733486">
        <w:rPr>
          <w:i/>
          <w:color w:val="C00000"/>
          <w:sz w:val="18"/>
        </w:rPr>
        <w:t xml:space="preserve"> crypto abc@123 </w:t>
      </w:r>
    </w:p>
    <w:p w14:paraId="5506E1DF" w14:textId="77777777" w:rsidR="00326788" w:rsidRDefault="00733486" w:rsidP="005362C8">
      <w:pPr>
        <w:ind w:firstLine="720"/>
        <w:jc w:val="both"/>
      </w:pPr>
      <w:r>
        <w:t xml:space="preserve">Where, in place of </w:t>
      </w:r>
      <w:r w:rsidRPr="00733486">
        <w:rPr>
          <w:b/>
        </w:rPr>
        <w:t xml:space="preserve">abc@123 </w:t>
      </w:r>
      <w:r>
        <w:t xml:space="preserve">specify the actual password </w:t>
      </w:r>
    </w:p>
    <w:p w14:paraId="041410D7" w14:textId="77777777" w:rsidR="00733486" w:rsidRDefault="00733486" w:rsidP="00090535">
      <w:pPr>
        <w:pStyle w:val="ListParagraph"/>
        <w:numPr>
          <w:ilvl w:val="0"/>
          <w:numId w:val="8"/>
        </w:numPr>
        <w:jc w:val="both"/>
      </w:pPr>
      <w:r>
        <w:lastRenderedPageBreak/>
        <w:t>You will get the encrypted value as shown below</w:t>
      </w:r>
    </w:p>
    <w:p w14:paraId="10D6C001" w14:textId="77777777" w:rsidR="00733486" w:rsidRDefault="005C0CA8" w:rsidP="005362C8">
      <w:pPr>
        <w:pStyle w:val="ListParagraph"/>
        <w:jc w:val="both"/>
      </w:pPr>
      <w:r>
        <w:rPr>
          <w:noProof/>
          <w:lang w:val="en-IN" w:eastAsia="en-IN"/>
        </w:rPr>
        <w:drawing>
          <wp:inline distT="0" distB="0" distL="0" distR="0" wp14:anchorId="39C0538C" wp14:editId="22520238">
            <wp:extent cx="5934075" cy="323850"/>
            <wp:effectExtent l="19050" t="0" r="9525" b="0"/>
            <wp:docPr id="3" name="Picture 2" descr="Annotation 2020-03-05 0924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notation 2020-03-05 092453.jpg"/>
                    <pic:cNvPicPr/>
                  </pic:nvPicPr>
                  <pic:blipFill>
                    <a:blip r:embed="rId7"/>
                    <a:stretch>
                      <a:fillRect/>
                    </a:stretch>
                  </pic:blipFill>
                  <pic:spPr>
                    <a:xfrm>
                      <a:off x="0" y="0"/>
                      <a:ext cx="5934075" cy="323850"/>
                    </a:xfrm>
                    <a:prstGeom prst="rect">
                      <a:avLst/>
                    </a:prstGeom>
                  </pic:spPr>
                </pic:pic>
              </a:graphicData>
            </a:graphic>
          </wp:inline>
        </w:drawing>
      </w:r>
    </w:p>
    <w:p w14:paraId="1990AD2C" w14:textId="77777777" w:rsidR="00733486" w:rsidRDefault="00733486" w:rsidP="00090535">
      <w:pPr>
        <w:pStyle w:val="ListParagraph"/>
        <w:numPr>
          <w:ilvl w:val="0"/>
          <w:numId w:val="8"/>
        </w:numPr>
        <w:jc w:val="both"/>
      </w:pPr>
      <w:r>
        <w:t>Kindly ensure that the encrypted password is specified as a value for the environmental variable (</w:t>
      </w:r>
      <w:proofErr w:type="spellStart"/>
      <w:r w:rsidRPr="00F57C78">
        <w:t>ccilfx.apisocket.PFXPassword</w:t>
      </w:r>
      <w:proofErr w:type="spellEnd"/>
      <w:r>
        <w:t>)</w:t>
      </w:r>
    </w:p>
    <w:p w14:paraId="5E503D69" w14:textId="77777777" w:rsidR="006215AE" w:rsidRDefault="00F75AD9" w:rsidP="00090535">
      <w:pPr>
        <w:pStyle w:val="ListParagraph"/>
        <w:numPr>
          <w:ilvl w:val="0"/>
          <w:numId w:val="8"/>
        </w:numPr>
        <w:jc w:val="both"/>
      </w:pPr>
      <w:r>
        <w:t xml:space="preserve">As a final step, </w:t>
      </w:r>
      <w:r w:rsidR="006215AE">
        <w:t xml:space="preserve">run the participant interface </w:t>
      </w:r>
      <w:r w:rsidR="001E7F02">
        <w:t>utility</w:t>
      </w:r>
      <w:r w:rsidR="006215AE">
        <w:t xml:space="preserve">. To do this, double click on the </w:t>
      </w:r>
      <w:r w:rsidR="006215AE" w:rsidRPr="00090535">
        <w:rPr>
          <w:b/>
        </w:rPr>
        <w:t>ParticipantsInterface.bat</w:t>
      </w:r>
      <w:r w:rsidR="006215AE" w:rsidRPr="00090535">
        <w:t xml:space="preserve"> </w:t>
      </w:r>
      <w:r w:rsidR="006215AE">
        <w:t>received from ClearCorp</w:t>
      </w:r>
      <w:r>
        <w:t xml:space="preserve"> </w:t>
      </w:r>
      <w:r w:rsidR="001E7F02">
        <w:t>o</w:t>
      </w:r>
      <w:r>
        <w:t xml:space="preserve">r </w:t>
      </w:r>
      <w:r w:rsidR="00A53E76">
        <w:t xml:space="preserve">run through </w:t>
      </w:r>
      <w:r>
        <w:t>schedule task.</w:t>
      </w:r>
    </w:p>
    <w:p w14:paraId="4750C979" w14:textId="77777777" w:rsidR="006215AE" w:rsidRDefault="005362C8" w:rsidP="00090535">
      <w:pPr>
        <w:pStyle w:val="ListParagraph"/>
        <w:numPr>
          <w:ilvl w:val="0"/>
          <w:numId w:val="8"/>
        </w:numPr>
        <w:jc w:val="both"/>
      </w:pPr>
      <w:r>
        <w:t>Now, you are connected to the API server and will start receiving the trade files in real time.</w:t>
      </w:r>
    </w:p>
    <w:p w14:paraId="014E091E" w14:textId="77777777" w:rsidR="005362C8" w:rsidRPr="008555BB" w:rsidRDefault="008555BB" w:rsidP="00090535">
      <w:pPr>
        <w:pStyle w:val="ListParagraph"/>
        <w:numPr>
          <w:ilvl w:val="0"/>
          <w:numId w:val="8"/>
        </w:numPr>
        <w:jc w:val="both"/>
      </w:pPr>
      <w:r w:rsidRPr="008555BB">
        <w:t>The new participant interface will run 24/7 to provide the assistance for customer approval, limit settings, swap quote and markup settings to the member banks. The Member bank to make sure t</w:t>
      </w:r>
      <w:r w:rsidR="00BD664D">
        <w:t>he participant interface and HUB</w:t>
      </w:r>
      <w:r w:rsidRPr="008555BB">
        <w:t xml:space="preserve"> running at their premises before doing any such activities. </w:t>
      </w:r>
    </w:p>
    <w:p w14:paraId="29C0756D" w14:textId="77777777" w:rsidR="003E58B9" w:rsidRPr="00090535" w:rsidRDefault="003E58B9" w:rsidP="00090535">
      <w:pPr>
        <w:pStyle w:val="ListParagraph"/>
        <w:numPr>
          <w:ilvl w:val="0"/>
          <w:numId w:val="8"/>
        </w:numPr>
        <w:jc w:val="both"/>
      </w:pPr>
      <w:r w:rsidRPr="00090535">
        <w:t>Location of the folders for the Intra</w:t>
      </w:r>
      <w:r w:rsidR="00E81D70" w:rsidRPr="00090535">
        <w:t>-</w:t>
      </w:r>
      <w:r w:rsidRPr="00090535">
        <w:t xml:space="preserve">day file and </w:t>
      </w:r>
      <w:r w:rsidR="00784300" w:rsidRPr="00090535">
        <w:t xml:space="preserve">post session </w:t>
      </w:r>
      <w:r w:rsidR="004B2CA3" w:rsidRPr="00090535">
        <w:t xml:space="preserve">close </w:t>
      </w:r>
      <w:r w:rsidR="00784300" w:rsidRPr="00090535">
        <w:t>recon</w:t>
      </w:r>
      <w:r w:rsidR="004B2CA3" w:rsidRPr="00090535">
        <w:t>ciliation</w:t>
      </w:r>
      <w:r w:rsidR="00784300" w:rsidRPr="00090535">
        <w:t xml:space="preserve"> file will be available </w:t>
      </w:r>
      <w:r w:rsidR="00104ED2" w:rsidRPr="00090535">
        <w:t>within folders as given below:</w:t>
      </w:r>
    </w:p>
    <w:p w14:paraId="5765B2E9" w14:textId="77777777" w:rsidR="00784300" w:rsidRPr="00784300" w:rsidRDefault="00784300" w:rsidP="00784300">
      <w:pPr>
        <w:pStyle w:val="ListParagraph"/>
        <w:numPr>
          <w:ilvl w:val="0"/>
          <w:numId w:val="10"/>
        </w:numPr>
        <w:jc w:val="both"/>
        <w:rPr>
          <w:lang w:val="en-IN" w:eastAsia="en-IN"/>
        </w:rPr>
      </w:pPr>
      <w:proofErr w:type="spellStart"/>
      <w:r w:rsidRPr="00784300">
        <w:rPr>
          <w:lang w:val="en-IN" w:eastAsia="en-IN"/>
        </w:rPr>
        <w:t>yyyymmdd</w:t>
      </w:r>
      <w:proofErr w:type="spellEnd"/>
    </w:p>
    <w:p w14:paraId="738D7197" w14:textId="77777777" w:rsidR="00784300" w:rsidRPr="00784300" w:rsidRDefault="00784300" w:rsidP="00C05E6A">
      <w:pPr>
        <w:pStyle w:val="ListParagraph"/>
        <w:numPr>
          <w:ilvl w:val="2"/>
          <w:numId w:val="11"/>
        </w:numPr>
        <w:jc w:val="both"/>
        <w:rPr>
          <w:lang w:val="en-IN" w:eastAsia="en-IN"/>
        </w:rPr>
      </w:pPr>
      <w:r w:rsidRPr="00784300">
        <w:rPr>
          <w:lang w:val="en-IN" w:eastAsia="en-IN"/>
        </w:rPr>
        <w:t>Intraday</w:t>
      </w:r>
    </w:p>
    <w:p w14:paraId="144BA764" w14:textId="77777777" w:rsidR="00784300" w:rsidRDefault="00784300" w:rsidP="00C05E6A">
      <w:pPr>
        <w:pStyle w:val="ListParagraph"/>
        <w:numPr>
          <w:ilvl w:val="2"/>
          <w:numId w:val="11"/>
        </w:numPr>
        <w:jc w:val="both"/>
        <w:rPr>
          <w:lang w:val="en-IN" w:eastAsia="en-IN"/>
        </w:rPr>
      </w:pPr>
      <w:proofErr w:type="spellStart"/>
      <w:r w:rsidRPr="00784300">
        <w:rPr>
          <w:lang w:val="en-IN" w:eastAsia="en-IN"/>
        </w:rPr>
        <w:t>Postclose</w:t>
      </w:r>
      <w:proofErr w:type="spellEnd"/>
    </w:p>
    <w:p w14:paraId="356172C8" w14:textId="77777777" w:rsidR="00104ED2" w:rsidRPr="00090535" w:rsidRDefault="00104ED2" w:rsidP="00090535">
      <w:pPr>
        <w:pStyle w:val="ListParagraph"/>
        <w:numPr>
          <w:ilvl w:val="0"/>
          <w:numId w:val="8"/>
        </w:numPr>
        <w:jc w:val="both"/>
      </w:pPr>
      <w:r w:rsidRPr="00090535">
        <w:t xml:space="preserve">The Intraday and </w:t>
      </w:r>
      <w:proofErr w:type="spellStart"/>
      <w:r w:rsidRPr="00090535">
        <w:t>Postclose</w:t>
      </w:r>
      <w:proofErr w:type="spellEnd"/>
      <w:r w:rsidRPr="00090535">
        <w:t xml:space="preserve"> folders will be automatically created by the</w:t>
      </w:r>
      <w:r w:rsidR="001E7F02" w:rsidRPr="00090535">
        <w:t xml:space="preserve"> utility</w:t>
      </w:r>
      <w:r w:rsidRPr="00090535">
        <w:t xml:space="preserve"> within the main folder as mentioned in the environment variable </w:t>
      </w:r>
      <w:proofErr w:type="spellStart"/>
      <w:r w:rsidR="00E81D70" w:rsidRPr="00090535">
        <w:t>ccilfx.apisocket.messageLogLocation</w:t>
      </w:r>
      <w:proofErr w:type="spellEnd"/>
      <w:r w:rsidRPr="00090535">
        <w:t xml:space="preserve"> in </w:t>
      </w:r>
      <w:r w:rsidR="00D3713A" w:rsidRPr="00090535">
        <w:t>T</w:t>
      </w:r>
      <w:r w:rsidRPr="00090535">
        <w:t>able 1</w:t>
      </w:r>
      <w:r w:rsidR="00D3713A" w:rsidRPr="00090535">
        <w:t xml:space="preserve"> above.</w:t>
      </w:r>
    </w:p>
    <w:p w14:paraId="767D391F" w14:textId="77777777" w:rsidR="005362C8" w:rsidRDefault="00784300" w:rsidP="00090535">
      <w:pPr>
        <w:pStyle w:val="ListParagraph"/>
        <w:numPr>
          <w:ilvl w:val="0"/>
          <w:numId w:val="8"/>
        </w:numPr>
        <w:jc w:val="both"/>
      </w:pPr>
      <w:r w:rsidRPr="00090535">
        <w:t xml:space="preserve">The trade information would be saved </w:t>
      </w:r>
      <w:r w:rsidR="004A2BBA" w:rsidRPr="00090535">
        <w:t>in .CSV and FIX format</w:t>
      </w:r>
    </w:p>
    <w:p w14:paraId="3D054BA1" w14:textId="77777777" w:rsidR="008555BB" w:rsidRDefault="008555BB" w:rsidP="00090535">
      <w:pPr>
        <w:pStyle w:val="ListParagraph"/>
        <w:numPr>
          <w:ilvl w:val="0"/>
          <w:numId w:val="8"/>
        </w:numPr>
        <w:jc w:val="both"/>
      </w:pPr>
      <w:r>
        <w:t>The trades during Intraday and Trade re</w:t>
      </w:r>
      <w:r w:rsidR="00061AB7">
        <w:t>conciliation will be sent to HUB</w:t>
      </w:r>
      <w:r>
        <w:t xml:space="preserve"> as messages in an agreed format. The messages will be sent in FIX format. </w:t>
      </w:r>
    </w:p>
    <w:p w14:paraId="0F333296" w14:textId="77777777" w:rsidR="004A4FD6" w:rsidRDefault="004A4FD6" w:rsidP="00090535">
      <w:pPr>
        <w:pStyle w:val="ListParagraph"/>
        <w:numPr>
          <w:ilvl w:val="0"/>
          <w:numId w:val="8"/>
        </w:numPr>
        <w:jc w:val="both"/>
      </w:pPr>
      <w:r w:rsidRPr="00090535">
        <w:t>The file naming conventions have been shared with you in a separate document shared with members.</w:t>
      </w:r>
      <w:r w:rsidR="00073472">
        <w:t xml:space="preserve"> </w:t>
      </w:r>
    </w:p>
    <w:p w14:paraId="3A2868D4" w14:textId="77777777" w:rsidR="00317521" w:rsidRDefault="00317521" w:rsidP="00C16D89"/>
    <w:p w14:paraId="3B4A59AB" w14:textId="77777777" w:rsidR="00317521" w:rsidRDefault="00317521" w:rsidP="00C16D89"/>
    <w:p w14:paraId="2E5EC7FE" w14:textId="77777777" w:rsidR="00317521" w:rsidRPr="00C16D89" w:rsidRDefault="00317521" w:rsidP="00C16D89"/>
    <w:sectPr w:rsidR="00317521" w:rsidRPr="00C16D89" w:rsidSect="00A152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53938"/>
    <w:multiLevelType w:val="hybridMultilevel"/>
    <w:tmpl w:val="FE04845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9FF09F1"/>
    <w:multiLevelType w:val="hybridMultilevel"/>
    <w:tmpl w:val="F324339A"/>
    <w:lvl w:ilvl="0" w:tplc="4009000F">
      <w:start w:val="1"/>
      <w:numFmt w:val="decimal"/>
      <w:lvlText w:val="%1."/>
      <w:lvlJc w:val="left"/>
      <w:pPr>
        <w:ind w:left="720" w:hanging="360"/>
      </w:pPr>
      <w:rPr>
        <w:rFonts w:hint="default"/>
      </w:rPr>
    </w:lvl>
    <w:lvl w:ilvl="1" w:tplc="F37C6008">
      <w:start w:val="1"/>
      <w:numFmt w:val="lowerLetter"/>
      <w:lvlText w:val="%2."/>
      <w:lvlJc w:val="left"/>
      <w:pPr>
        <w:ind w:left="1440" w:hanging="360"/>
      </w:pPr>
      <w:rPr>
        <w:b w:val="0"/>
        <w:i w:val="0"/>
        <w:color w:val="auto"/>
        <w:sz w:val="22"/>
        <w:szCs w:val="22"/>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0D54EE4"/>
    <w:multiLevelType w:val="hybridMultilevel"/>
    <w:tmpl w:val="76F4D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D20A3D"/>
    <w:multiLevelType w:val="hybridMultilevel"/>
    <w:tmpl w:val="D29C4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FF5575A"/>
    <w:multiLevelType w:val="hybridMultilevel"/>
    <w:tmpl w:val="094601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D4816BA"/>
    <w:multiLevelType w:val="hybridMultilevel"/>
    <w:tmpl w:val="0A4C80A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D821AA5"/>
    <w:multiLevelType w:val="hybridMultilevel"/>
    <w:tmpl w:val="E9CA9C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007FFE"/>
    <w:multiLevelType w:val="hybridMultilevel"/>
    <w:tmpl w:val="EEACFF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11B0C8A"/>
    <w:multiLevelType w:val="hybridMultilevel"/>
    <w:tmpl w:val="A5AE8B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9750966"/>
    <w:multiLevelType w:val="hybridMultilevel"/>
    <w:tmpl w:val="A5AE8B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707529"/>
    <w:multiLevelType w:val="hybridMultilevel"/>
    <w:tmpl w:val="F324339A"/>
    <w:lvl w:ilvl="0" w:tplc="4009000F">
      <w:start w:val="1"/>
      <w:numFmt w:val="decimal"/>
      <w:lvlText w:val="%1."/>
      <w:lvlJc w:val="left"/>
      <w:pPr>
        <w:ind w:left="720" w:hanging="360"/>
      </w:pPr>
      <w:rPr>
        <w:rFonts w:hint="default"/>
      </w:rPr>
    </w:lvl>
    <w:lvl w:ilvl="1" w:tplc="F37C6008">
      <w:start w:val="1"/>
      <w:numFmt w:val="lowerLetter"/>
      <w:lvlText w:val="%2."/>
      <w:lvlJc w:val="left"/>
      <w:pPr>
        <w:ind w:left="1440" w:hanging="360"/>
      </w:pPr>
      <w:rPr>
        <w:b w:val="0"/>
        <w:i w:val="0"/>
        <w:color w:val="auto"/>
        <w:sz w:val="22"/>
        <w:szCs w:val="22"/>
      </w:r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6"/>
  </w:num>
  <w:num w:numId="2">
    <w:abstractNumId w:val="2"/>
  </w:num>
  <w:num w:numId="3">
    <w:abstractNumId w:val="3"/>
  </w:num>
  <w:num w:numId="4">
    <w:abstractNumId w:val="5"/>
  </w:num>
  <w:num w:numId="5">
    <w:abstractNumId w:val="8"/>
  </w:num>
  <w:num w:numId="6">
    <w:abstractNumId w:val="4"/>
  </w:num>
  <w:num w:numId="7">
    <w:abstractNumId w:val="9"/>
  </w:num>
  <w:num w:numId="8">
    <w:abstractNumId w:val="10"/>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MDEyMTAzMTS0tDSwNDVT0lEKTi0uzszPAykwrwUAcIGZRSwAAAA="/>
  </w:docVars>
  <w:rsids>
    <w:rsidRoot w:val="00684000"/>
    <w:rsid w:val="00004DC6"/>
    <w:rsid w:val="00061AB7"/>
    <w:rsid w:val="00073472"/>
    <w:rsid w:val="00090535"/>
    <w:rsid w:val="000910DC"/>
    <w:rsid w:val="000C4507"/>
    <w:rsid w:val="000E3BC4"/>
    <w:rsid w:val="00104ED2"/>
    <w:rsid w:val="00126E7C"/>
    <w:rsid w:val="001452BC"/>
    <w:rsid w:val="00180F3D"/>
    <w:rsid w:val="00182BD4"/>
    <w:rsid w:val="001859A9"/>
    <w:rsid w:val="001C5EE3"/>
    <w:rsid w:val="001E663D"/>
    <w:rsid w:val="001E7F02"/>
    <w:rsid w:val="001F07FF"/>
    <w:rsid w:val="0021333C"/>
    <w:rsid w:val="002607ED"/>
    <w:rsid w:val="00280A9E"/>
    <w:rsid w:val="002C19D4"/>
    <w:rsid w:val="002C7FD7"/>
    <w:rsid w:val="002F3D77"/>
    <w:rsid w:val="00317521"/>
    <w:rsid w:val="00320B92"/>
    <w:rsid w:val="00326788"/>
    <w:rsid w:val="00361F6C"/>
    <w:rsid w:val="00394DD0"/>
    <w:rsid w:val="003D1D58"/>
    <w:rsid w:val="003D2CED"/>
    <w:rsid w:val="003D72B4"/>
    <w:rsid w:val="003E58B9"/>
    <w:rsid w:val="0044149F"/>
    <w:rsid w:val="0044402C"/>
    <w:rsid w:val="00475422"/>
    <w:rsid w:val="00497364"/>
    <w:rsid w:val="004A2BBA"/>
    <w:rsid w:val="004A4FD6"/>
    <w:rsid w:val="004B2CA3"/>
    <w:rsid w:val="004C4BDA"/>
    <w:rsid w:val="005029FB"/>
    <w:rsid w:val="00524A35"/>
    <w:rsid w:val="005362C8"/>
    <w:rsid w:val="005473BE"/>
    <w:rsid w:val="005571AB"/>
    <w:rsid w:val="00570DDA"/>
    <w:rsid w:val="00583B79"/>
    <w:rsid w:val="00595758"/>
    <w:rsid w:val="005A23FB"/>
    <w:rsid w:val="005A7351"/>
    <w:rsid w:val="005B3EF1"/>
    <w:rsid w:val="005B5C3B"/>
    <w:rsid w:val="005C0CA8"/>
    <w:rsid w:val="005E6503"/>
    <w:rsid w:val="005F65CD"/>
    <w:rsid w:val="006211F3"/>
    <w:rsid w:val="006215AE"/>
    <w:rsid w:val="00644C63"/>
    <w:rsid w:val="00651049"/>
    <w:rsid w:val="00684000"/>
    <w:rsid w:val="006B4D72"/>
    <w:rsid w:val="006F3132"/>
    <w:rsid w:val="006F722D"/>
    <w:rsid w:val="00714E95"/>
    <w:rsid w:val="00733486"/>
    <w:rsid w:val="00761E10"/>
    <w:rsid w:val="00776F49"/>
    <w:rsid w:val="0078428E"/>
    <w:rsid w:val="00784300"/>
    <w:rsid w:val="00786244"/>
    <w:rsid w:val="007C6755"/>
    <w:rsid w:val="007D24E3"/>
    <w:rsid w:val="007F359B"/>
    <w:rsid w:val="00815FEF"/>
    <w:rsid w:val="00825402"/>
    <w:rsid w:val="008555BB"/>
    <w:rsid w:val="008A1A5B"/>
    <w:rsid w:val="008B0E7B"/>
    <w:rsid w:val="008B3771"/>
    <w:rsid w:val="008E6562"/>
    <w:rsid w:val="008F3946"/>
    <w:rsid w:val="00901D69"/>
    <w:rsid w:val="00925DB3"/>
    <w:rsid w:val="0094241A"/>
    <w:rsid w:val="009A0595"/>
    <w:rsid w:val="009C5B12"/>
    <w:rsid w:val="009C5EDE"/>
    <w:rsid w:val="009D1C73"/>
    <w:rsid w:val="009F6F65"/>
    <w:rsid w:val="00A1529D"/>
    <w:rsid w:val="00A47B0B"/>
    <w:rsid w:val="00A53E76"/>
    <w:rsid w:val="00A656CF"/>
    <w:rsid w:val="00A71294"/>
    <w:rsid w:val="00A75611"/>
    <w:rsid w:val="00A97B28"/>
    <w:rsid w:val="00AC60E5"/>
    <w:rsid w:val="00AE59F3"/>
    <w:rsid w:val="00B400F9"/>
    <w:rsid w:val="00B6142F"/>
    <w:rsid w:val="00BB2108"/>
    <w:rsid w:val="00BC644F"/>
    <w:rsid w:val="00BC7FB1"/>
    <w:rsid w:val="00BD664D"/>
    <w:rsid w:val="00BD7B83"/>
    <w:rsid w:val="00BF42B3"/>
    <w:rsid w:val="00C05E6A"/>
    <w:rsid w:val="00C16D89"/>
    <w:rsid w:val="00C30FBF"/>
    <w:rsid w:val="00C445C5"/>
    <w:rsid w:val="00C62DFC"/>
    <w:rsid w:val="00C650E3"/>
    <w:rsid w:val="00CC1934"/>
    <w:rsid w:val="00D2586D"/>
    <w:rsid w:val="00D3713A"/>
    <w:rsid w:val="00D61E10"/>
    <w:rsid w:val="00D75AEE"/>
    <w:rsid w:val="00D9649E"/>
    <w:rsid w:val="00DA39B7"/>
    <w:rsid w:val="00DD2DD0"/>
    <w:rsid w:val="00DF2709"/>
    <w:rsid w:val="00E23E90"/>
    <w:rsid w:val="00E345CC"/>
    <w:rsid w:val="00E67645"/>
    <w:rsid w:val="00E74C69"/>
    <w:rsid w:val="00E81D70"/>
    <w:rsid w:val="00E93663"/>
    <w:rsid w:val="00EA766A"/>
    <w:rsid w:val="00EC03CF"/>
    <w:rsid w:val="00EC3BD8"/>
    <w:rsid w:val="00ED5D1A"/>
    <w:rsid w:val="00EF0EA7"/>
    <w:rsid w:val="00EF242D"/>
    <w:rsid w:val="00F31AF5"/>
    <w:rsid w:val="00F32F98"/>
    <w:rsid w:val="00F435E7"/>
    <w:rsid w:val="00F555D1"/>
    <w:rsid w:val="00F57C78"/>
    <w:rsid w:val="00F75AD9"/>
    <w:rsid w:val="00F970A1"/>
    <w:rsid w:val="00FE36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14FE8"/>
  <w15:docId w15:val="{4CA94021-2E70-4AAB-8E57-6B074E57B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9D4"/>
  </w:style>
  <w:style w:type="paragraph" w:styleId="Heading1">
    <w:name w:val="heading 1"/>
    <w:basedOn w:val="Normal"/>
    <w:next w:val="Normal"/>
    <w:link w:val="Heading1Char"/>
    <w:uiPriority w:val="9"/>
    <w:qFormat/>
    <w:rsid w:val="008B0E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16D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507"/>
    <w:pPr>
      <w:ind w:left="720"/>
      <w:contextualSpacing/>
    </w:pPr>
  </w:style>
  <w:style w:type="table" w:styleId="TableGrid">
    <w:name w:val="Table Grid"/>
    <w:basedOn w:val="TableNormal"/>
    <w:uiPriority w:val="39"/>
    <w:rsid w:val="00EC3B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B0E7B"/>
    <w:rPr>
      <w:rFonts w:asciiTheme="majorHAnsi" w:eastAsiaTheme="majorEastAsia" w:hAnsiTheme="majorHAnsi" w:cstheme="majorBidi"/>
      <w:color w:val="2E74B5" w:themeColor="accent1" w:themeShade="BF"/>
      <w:sz w:val="32"/>
      <w:szCs w:val="32"/>
    </w:rPr>
  </w:style>
  <w:style w:type="paragraph" w:styleId="NormalWeb">
    <w:name w:val="Normal (Web)"/>
    <w:basedOn w:val="Normal"/>
    <w:uiPriority w:val="99"/>
    <w:semiHidden/>
    <w:unhideWhenUsed/>
    <w:rsid w:val="00901D69"/>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link w:val="NoSpacingChar"/>
    <w:uiPriority w:val="1"/>
    <w:qFormat/>
    <w:rsid w:val="00925DB3"/>
    <w:pPr>
      <w:spacing w:after="0" w:line="240" w:lineRule="auto"/>
    </w:pPr>
    <w:rPr>
      <w:rFonts w:eastAsiaTheme="minorEastAsia"/>
    </w:rPr>
  </w:style>
  <w:style w:type="character" w:customStyle="1" w:styleId="NoSpacingChar">
    <w:name w:val="No Spacing Char"/>
    <w:basedOn w:val="DefaultParagraphFont"/>
    <w:link w:val="NoSpacing"/>
    <w:uiPriority w:val="1"/>
    <w:rsid w:val="00925DB3"/>
    <w:rPr>
      <w:rFonts w:eastAsiaTheme="minorEastAsia"/>
    </w:rPr>
  </w:style>
  <w:style w:type="table" w:customStyle="1" w:styleId="GridTable1Light-Accent51">
    <w:name w:val="Grid Table 1 Light - Accent 51"/>
    <w:basedOn w:val="TableNormal"/>
    <w:uiPriority w:val="46"/>
    <w:rsid w:val="00CC1934"/>
    <w:pPr>
      <w:spacing w:after="0" w:line="240" w:lineRule="auto"/>
    </w:pPr>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9"/>
    <w:rsid w:val="00C16D89"/>
    <w:rPr>
      <w:rFonts w:asciiTheme="majorHAnsi" w:eastAsiaTheme="majorEastAsia" w:hAnsiTheme="majorHAnsi" w:cstheme="majorBidi"/>
      <w:color w:val="2E74B5" w:themeColor="accent1" w:themeShade="BF"/>
      <w:sz w:val="26"/>
      <w:szCs w:val="26"/>
    </w:rPr>
  </w:style>
  <w:style w:type="table" w:customStyle="1" w:styleId="ListTable4-Accent11">
    <w:name w:val="List Table 4 - Accent 11"/>
    <w:basedOn w:val="TableNormal"/>
    <w:uiPriority w:val="49"/>
    <w:rsid w:val="00C16D8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1Light1">
    <w:name w:val="Grid Table 1 Light1"/>
    <w:basedOn w:val="TableNormal"/>
    <w:uiPriority w:val="46"/>
    <w:rsid w:val="006215AE"/>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Light1">
    <w:name w:val="Table Grid Light1"/>
    <w:basedOn w:val="TableNormal"/>
    <w:uiPriority w:val="40"/>
    <w:rsid w:val="006215A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BC7FB1"/>
    <w:rPr>
      <w:sz w:val="16"/>
      <w:szCs w:val="16"/>
    </w:rPr>
  </w:style>
  <w:style w:type="paragraph" w:styleId="CommentText">
    <w:name w:val="annotation text"/>
    <w:basedOn w:val="Normal"/>
    <w:link w:val="CommentTextChar"/>
    <w:uiPriority w:val="99"/>
    <w:semiHidden/>
    <w:unhideWhenUsed/>
    <w:rsid w:val="00BC7FB1"/>
    <w:pPr>
      <w:spacing w:line="240" w:lineRule="auto"/>
    </w:pPr>
    <w:rPr>
      <w:sz w:val="20"/>
      <w:szCs w:val="20"/>
    </w:rPr>
  </w:style>
  <w:style w:type="character" w:customStyle="1" w:styleId="CommentTextChar">
    <w:name w:val="Comment Text Char"/>
    <w:basedOn w:val="DefaultParagraphFont"/>
    <w:link w:val="CommentText"/>
    <w:uiPriority w:val="99"/>
    <w:semiHidden/>
    <w:rsid w:val="00BC7FB1"/>
    <w:rPr>
      <w:sz w:val="20"/>
      <w:szCs w:val="20"/>
    </w:rPr>
  </w:style>
  <w:style w:type="paragraph" w:styleId="CommentSubject">
    <w:name w:val="annotation subject"/>
    <w:basedOn w:val="CommentText"/>
    <w:next w:val="CommentText"/>
    <w:link w:val="CommentSubjectChar"/>
    <w:uiPriority w:val="99"/>
    <w:semiHidden/>
    <w:unhideWhenUsed/>
    <w:rsid w:val="00BC7FB1"/>
    <w:rPr>
      <w:b/>
      <w:bCs/>
    </w:rPr>
  </w:style>
  <w:style w:type="character" w:customStyle="1" w:styleId="CommentSubjectChar">
    <w:name w:val="Comment Subject Char"/>
    <w:basedOn w:val="CommentTextChar"/>
    <w:link w:val="CommentSubject"/>
    <w:uiPriority w:val="99"/>
    <w:semiHidden/>
    <w:rsid w:val="00BC7FB1"/>
    <w:rPr>
      <w:b/>
      <w:bCs/>
      <w:sz w:val="20"/>
      <w:szCs w:val="20"/>
    </w:rPr>
  </w:style>
  <w:style w:type="paragraph" w:styleId="BalloonText">
    <w:name w:val="Balloon Text"/>
    <w:basedOn w:val="Normal"/>
    <w:link w:val="BalloonTextChar"/>
    <w:uiPriority w:val="99"/>
    <w:semiHidden/>
    <w:unhideWhenUsed/>
    <w:rsid w:val="00BC7F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7F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916598">
      <w:bodyDiv w:val="1"/>
      <w:marLeft w:val="0"/>
      <w:marRight w:val="0"/>
      <w:marTop w:val="0"/>
      <w:marBottom w:val="0"/>
      <w:divBdr>
        <w:top w:val="none" w:sz="0" w:space="0" w:color="auto"/>
        <w:left w:val="none" w:sz="0" w:space="0" w:color="auto"/>
        <w:bottom w:val="none" w:sz="0" w:space="0" w:color="auto"/>
        <w:right w:val="none" w:sz="0" w:space="0" w:color="auto"/>
      </w:divBdr>
    </w:div>
    <w:div w:id="518786249">
      <w:bodyDiv w:val="1"/>
      <w:marLeft w:val="0"/>
      <w:marRight w:val="0"/>
      <w:marTop w:val="0"/>
      <w:marBottom w:val="0"/>
      <w:divBdr>
        <w:top w:val="none" w:sz="0" w:space="0" w:color="auto"/>
        <w:left w:val="none" w:sz="0" w:space="0" w:color="auto"/>
        <w:bottom w:val="none" w:sz="0" w:space="0" w:color="auto"/>
        <w:right w:val="none" w:sz="0" w:space="0" w:color="auto"/>
      </w:divBdr>
    </w:div>
    <w:div w:id="674840110">
      <w:bodyDiv w:val="1"/>
      <w:marLeft w:val="0"/>
      <w:marRight w:val="0"/>
      <w:marTop w:val="0"/>
      <w:marBottom w:val="0"/>
      <w:divBdr>
        <w:top w:val="none" w:sz="0" w:space="0" w:color="auto"/>
        <w:left w:val="none" w:sz="0" w:space="0" w:color="auto"/>
        <w:bottom w:val="none" w:sz="0" w:space="0" w:color="auto"/>
        <w:right w:val="none" w:sz="0" w:space="0" w:color="auto"/>
      </w:divBdr>
    </w:div>
    <w:div w:id="1191843426">
      <w:bodyDiv w:val="1"/>
      <w:marLeft w:val="0"/>
      <w:marRight w:val="0"/>
      <w:marTop w:val="0"/>
      <w:marBottom w:val="0"/>
      <w:divBdr>
        <w:top w:val="none" w:sz="0" w:space="0" w:color="auto"/>
        <w:left w:val="none" w:sz="0" w:space="0" w:color="auto"/>
        <w:bottom w:val="none" w:sz="0" w:space="0" w:color="auto"/>
        <w:right w:val="none" w:sz="0" w:space="0" w:color="auto"/>
      </w:divBdr>
    </w:div>
    <w:div w:id="1450927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C3AD1B-D6A3-4EF1-A439-C41B90DDE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428</TotalTime>
  <Pages>1</Pages>
  <Words>1187</Words>
  <Characters>6768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Subashini Ramasamy</dc:creator>
  <cp:lastModifiedBy>AathavajayanthAS_CSPL</cp:lastModifiedBy>
  <cp:revision>4</cp:revision>
  <dcterms:created xsi:type="dcterms:W3CDTF">2024-06-04T14:04:00Z</dcterms:created>
  <dcterms:modified xsi:type="dcterms:W3CDTF">2024-10-18T09:12:00Z</dcterms:modified>
</cp:coreProperties>
</file>